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eastAsia="黑体"/>
          <w:sz w:val="28"/>
          <w:szCs w:val="28"/>
        </w:rPr>
      </w:pPr>
      <w:bookmarkStart w:id="8" w:name="_GoBack"/>
      <w:bookmarkEnd w:id="8"/>
      <w:r>
        <w:rPr>
          <w:rFonts w:hint="eastAsia" w:ascii="黑体" w:eastAsia="黑体"/>
          <w:sz w:val="28"/>
          <w:szCs w:val="28"/>
        </w:rPr>
        <w:t>附件</w:t>
      </w:r>
    </w:p>
    <w:p>
      <w:pPr>
        <w:spacing w:after="240" w:afterLines="100"/>
        <w:jc w:val="center"/>
        <w:rPr>
          <w:rFonts w:ascii="方正小标宋简体" w:eastAsia="方正小标宋简体"/>
          <w:sz w:val="36"/>
          <w:szCs w:val="36"/>
        </w:rPr>
      </w:pPr>
      <w:bookmarkStart w:id="0" w:name="_Hlk26354268"/>
      <w:r>
        <w:rPr>
          <w:rFonts w:hint="eastAsia" w:ascii="方正小标宋简体" w:eastAsia="方正小标宋简体"/>
          <w:sz w:val="36"/>
          <w:szCs w:val="36"/>
        </w:rPr>
        <w:t>发布的22项交通运输行业标准</w:t>
      </w:r>
      <w:bookmarkEnd w:id="0"/>
      <w:r>
        <w:rPr>
          <w:rFonts w:hint="eastAsia" w:ascii="方正小标宋简体" w:eastAsia="方正小标宋简体"/>
          <w:sz w:val="36"/>
          <w:szCs w:val="36"/>
        </w:rPr>
        <w:t>的编号、名称、主要内容等一览表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5"/>
        <w:gridCol w:w="2000"/>
        <w:gridCol w:w="2551"/>
        <w:gridCol w:w="5724"/>
        <w:gridCol w:w="1500"/>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454" w:hRule="atLeast"/>
          <w:tblHeader/>
        </w:trPr>
        <w:tc>
          <w:tcPr>
            <w:tcW w:w="575" w:type="dxa"/>
            <w:noWrap w:val="0"/>
            <w:vAlign w:val="center"/>
          </w:tcPr>
          <w:p>
            <w:pPr>
              <w:jc w:val="center"/>
              <w:rPr>
                <w:rFonts w:ascii="宋体" w:hAnsi="宋体"/>
                <w:b/>
                <w:bCs/>
                <w:szCs w:val="21"/>
              </w:rPr>
            </w:pPr>
            <w:r>
              <w:rPr>
                <w:rFonts w:ascii="宋体" w:hAnsi="宋体"/>
                <w:b/>
                <w:bCs/>
                <w:szCs w:val="21"/>
              </w:rPr>
              <w:t>序号</w:t>
            </w:r>
          </w:p>
        </w:tc>
        <w:tc>
          <w:tcPr>
            <w:tcW w:w="2000" w:type="dxa"/>
            <w:noWrap w:val="0"/>
            <w:vAlign w:val="center"/>
          </w:tcPr>
          <w:p>
            <w:pPr>
              <w:jc w:val="center"/>
              <w:rPr>
                <w:rFonts w:ascii="宋体" w:hAnsi="宋体"/>
                <w:b/>
                <w:bCs/>
                <w:szCs w:val="21"/>
              </w:rPr>
            </w:pPr>
            <w:r>
              <w:rPr>
                <w:rFonts w:ascii="宋体" w:hAnsi="宋体"/>
                <w:b/>
                <w:bCs/>
                <w:szCs w:val="21"/>
              </w:rPr>
              <w:t>标准编号</w:t>
            </w:r>
          </w:p>
        </w:tc>
        <w:tc>
          <w:tcPr>
            <w:tcW w:w="2551" w:type="dxa"/>
            <w:noWrap w:val="0"/>
            <w:vAlign w:val="center"/>
          </w:tcPr>
          <w:p>
            <w:pPr>
              <w:jc w:val="center"/>
              <w:rPr>
                <w:rFonts w:ascii="宋体" w:hAnsi="宋体"/>
                <w:b/>
                <w:bCs/>
                <w:szCs w:val="21"/>
              </w:rPr>
            </w:pPr>
            <w:r>
              <w:rPr>
                <w:rFonts w:ascii="宋体" w:hAnsi="宋体"/>
                <w:b/>
                <w:bCs/>
                <w:szCs w:val="21"/>
              </w:rPr>
              <w:t>标准名称</w:t>
            </w:r>
          </w:p>
        </w:tc>
        <w:tc>
          <w:tcPr>
            <w:tcW w:w="5724" w:type="dxa"/>
            <w:noWrap w:val="0"/>
            <w:vAlign w:val="center"/>
          </w:tcPr>
          <w:p>
            <w:pPr>
              <w:spacing w:line="276" w:lineRule="auto"/>
              <w:jc w:val="center"/>
              <w:rPr>
                <w:rFonts w:ascii="宋体" w:hAnsi="宋体"/>
                <w:szCs w:val="21"/>
              </w:rPr>
            </w:pPr>
            <w:r>
              <w:rPr>
                <w:rFonts w:ascii="宋体" w:hAnsi="宋体"/>
                <w:b/>
                <w:bCs/>
                <w:szCs w:val="21"/>
              </w:rPr>
              <w:t>主要内容</w:t>
            </w:r>
          </w:p>
        </w:tc>
        <w:tc>
          <w:tcPr>
            <w:tcW w:w="1500" w:type="dxa"/>
            <w:noWrap w:val="0"/>
            <w:vAlign w:val="center"/>
          </w:tcPr>
          <w:p>
            <w:pPr>
              <w:jc w:val="center"/>
              <w:rPr>
                <w:rFonts w:ascii="宋体" w:hAnsi="宋体"/>
                <w:b/>
                <w:bCs/>
                <w:szCs w:val="21"/>
              </w:rPr>
            </w:pPr>
            <w:r>
              <w:rPr>
                <w:rFonts w:ascii="宋体" w:hAnsi="宋体"/>
                <w:b/>
                <w:bCs/>
                <w:szCs w:val="21"/>
              </w:rPr>
              <w:t>代替标准号</w:t>
            </w:r>
          </w:p>
        </w:tc>
        <w:tc>
          <w:tcPr>
            <w:tcW w:w="1148" w:type="dxa"/>
            <w:noWrap w:val="0"/>
            <w:vAlign w:val="center"/>
          </w:tcPr>
          <w:p>
            <w:pPr>
              <w:jc w:val="center"/>
              <w:rPr>
                <w:rFonts w:ascii="宋体" w:hAnsi="宋体"/>
                <w:b/>
                <w:bCs/>
                <w:szCs w:val="21"/>
              </w:rPr>
            </w:pPr>
            <w:r>
              <w:rPr>
                <w:rFonts w:ascii="宋体" w:hAnsi="宋体"/>
                <w:b/>
                <w:bCs/>
                <w:szCs w:val="21"/>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bookmarkStart w:id="1" w:name="_Hlk26354435"/>
          </w:p>
        </w:tc>
        <w:tc>
          <w:tcPr>
            <w:tcW w:w="2000" w:type="dxa"/>
            <w:noWrap w:val="0"/>
            <w:vAlign w:val="center"/>
          </w:tcPr>
          <w:p>
            <w:pPr>
              <w:jc w:val="left"/>
              <w:rPr>
                <w:rFonts w:ascii="宋体" w:hAnsi="宋体"/>
                <w:color w:val="000000"/>
                <w:szCs w:val="21"/>
              </w:rPr>
            </w:pPr>
            <w:r>
              <w:rPr>
                <w:rFonts w:ascii="宋体" w:hAnsi="宋体"/>
                <w:color w:val="000000"/>
                <w:szCs w:val="21"/>
              </w:rPr>
              <w:t>JT/T 129</w:t>
            </w:r>
            <w:r>
              <w:rPr>
                <w:rFonts w:hint="eastAsia" w:ascii="宋体" w:hAnsi="宋体"/>
                <w:color w:val="000000"/>
                <w:szCs w:val="21"/>
              </w:rPr>
              <w:t>0</w:t>
            </w:r>
            <w:r>
              <w:rPr>
                <w:rFonts w:ascii="宋体" w:hAnsi="宋体"/>
                <w:color w:val="000000"/>
                <w:szCs w:val="21"/>
              </w:rPr>
              <w:t>—2019</w:t>
            </w:r>
          </w:p>
        </w:tc>
        <w:tc>
          <w:tcPr>
            <w:tcW w:w="2551" w:type="dxa"/>
            <w:noWrap w:val="0"/>
            <w:vAlign w:val="center"/>
          </w:tcPr>
          <w:p>
            <w:pPr>
              <w:widowControl/>
              <w:jc w:val="left"/>
              <w:rPr>
                <w:rFonts w:hint="eastAsia"/>
                <w:color w:val="000000"/>
                <w:sz w:val="20"/>
                <w:szCs w:val="20"/>
              </w:rPr>
            </w:pPr>
            <w:bookmarkStart w:id="2" w:name="_Hlk26353857"/>
            <w:r>
              <w:rPr>
                <w:rFonts w:hint="eastAsia"/>
              </w:rPr>
              <w:t>道</w:t>
            </w:r>
            <w:bookmarkStart w:id="3" w:name="StandardName"/>
            <w:r>
              <w:rPr>
                <w:rFonts w:hint="eastAsia"/>
              </w:rPr>
              <w:t>路运输电子证照 从业资格</w:t>
            </w:r>
            <w:bookmarkEnd w:id="3"/>
            <w:r>
              <w:rPr>
                <w:rFonts w:hint="eastAsia"/>
              </w:rPr>
              <w:t>证</w:t>
            </w:r>
            <w:bookmarkEnd w:id="2"/>
          </w:p>
        </w:tc>
        <w:tc>
          <w:tcPr>
            <w:tcW w:w="5724" w:type="dxa"/>
            <w:noWrap w:val="0"/>
            <w:vAlign w:val="center"/>
          </w:tcPr>
          <w:p>
            <w:pPr>
              <w:pStyle w:val="31"/>
              <w:rPr>
                <w:rFonts w:hint="eastAsia"/>
              </w:rPr>
            </w:pPr>
            <w:r>
              <w:rPr>
                <w:rFonts w:hint="eastAsia"/>
              </w:rPr>
              <w:t>本标准规定了道路运输电子证照中从业资格证的类型及文件要求、外观样式和信息内容。</w:t>
            </w:r>
          </w:p>
          <w:p>
            <w:pPr>
              <w:pStyle w:val="31"/>
              <w:rPr>
                <w:rFonts w:hint="eastAsia"/>
              </w:rPr>
            </w:pPr>
            <w:r>
              <w:rPr>
                <w:rFonts w:hint="eastAsia"/>
              </w:rPr>
              <w:t>本标准适用于中华人民共和国道路运输从业人员从业资格证、巡游出租汽车驾驶员证和网络预约出租汽车驾驶员证电子证照的生成、数据处理、交换与共享。</w:t>
            </w:r>
          </w:p>
        </w:tc>
        <w:tc>
          <w:tcPr>
            <w:tcW w:w="1500" w:type="dxa"/>
            <w:noWrap w:val="0"/>
            <w:vAlign w:val="center"/>
          </w:tcPr>
          <w:p>
            <w:pPr>
              <w:rPr>
                <w:rFonts w:hint="eastAsia"/>
                <w:color w:val="000000"/>
                <w:sz w:val="20"/>
                <w:szCs w:val="20"/>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JT/T 129</w:t>
            </w:r>
            <w:r>
              <w:rPr>
                <w:rFonts w:hint="eastAsia" w:ascii="宋体" w:hAnsi="宋体"/>
                <w:color w:val="000000"/>
                <w:szCs w:val="21"/>
              </w:rPr>
              <w:t>1</w:t>
            </w:r>
            <w:r>
              <w:rPr>
                <w:rFonts w:ascii="宋体" w:hAnsi="宋体"/>
                <w:color w:val="000000"/>
                <w:szCs w:val="21"/>
              </w:rPr>
              <w:t>—2019</w:t>
            </w:r>
          </w:p>
        </w:tc>
        <w:tc>
          <w:tcPr>
            <w:tcW w:w="2551" w:type="dxa"/>
            <w:noWrap w:val="0"/>
            <w:vAlign w:val="center"/>
          </w:tcPr>
          <w:p>
            <w:pPr>
              <w:widowControl/>
              <w:jc w:val="left"/>
              <w:rPr>
                <w:rFonts w:hint="eastAsia"/>
                <w:color w:val="000000"/>
                <w:sz w:val="20"/>
                <w:szCs w:val="20"/>
              </w:rPr>
            </w:pPr>
            <w:r>
              <w:rPr>
                <w:rFonts w:hint="eastAsia"/>
              </w:rPr>
              <w:t>道路运输电子证照 经营许可证</w:t>
            </w:r>
          </w:p>
        </w:tc>
        <w:tc>
          <w:tcPr>
            <w:tcW w:w="5724" w:type="dxa"/>
            <w:noWrap w:val="0"/>
            <w:vAlign w:val="center"/>
          </w:tcPr>
          <w:p>
            <w:pPr>
              <w:pStyle w:val="31"/>
              <w:rPr>
                <w:rFonts w:hint="eastAsia"/>
              </w:rPr>
            </w:pPr>
            <w:r>
              <w:rPr>
                <w:rFonts w:hint="eastAsia"/>
              </w:rPr>
              <w:t>本标准规定了道路运输电子证照中经营许可证的类型及文件要求、外观样式和信息内容。</w:t>
            </w:r>
          </w:p>
          <w:p>
            <w:pPr>
              <w:pStyle w:val="31"/>
              <w:rPr>
                <w:rFonts w:hint="eastAsia"/>
              </w:rPr>
            </w:pPr>
            <w:r>
              <w:rPr>
                <w:rFonts w:hint="eastAsia"/>
              </w:rPr>
              <w:t>本标准适用于中华人民共和国道路运输经营许可证、道路危险货物运输许可证、网络预约出租汽车经营许可证及放射性物品道路运输许可证电子证照的生成、数据处理、交换与共享。</w:t>
            </w:r>
          </w:p>
        </w:tc>
        <w:tc>
          <w:tcPr>
            <w:tcW w:w="1500" w:type="dxa"/>
            <w:noWrap w:val="0"/>
            <w:vAlign w:val="center"/>
          </w:tcPr>
          <w:p>
            <w:pPr>
              <w:rPr>
                <w:rFonts w:hint="eastAsia"/>
                <w:color w:val="000000"/>
                <w:sz w:val="20"/>
                <w:szCs w:val="20"/>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JT/T 129</w:t>
            </w:r>
            <w:r>
              <w:rPr>
                <w:rFonts w:hint="eastAsia" w:ascii="宋体" w:hAnsi="宋体"/>
                <w:color w:val="000000"/>
                <w:szCs w:val="21"/>
              </w:rPr>
              <w:t>2</w:t>
            </w:r>
            <w:r>
              <w:rPr>
                <w:rFonts w:ascii="宋体" w:hAnsi="宋体"/>
                <w:color w:val="000000"/>
                <w:szCs w:val="21"/>
              </w:rPr>
              <w:t>—2019</w:t>
            </w:r>
          </w:p>
        </w:tc>
        <w:tc>
          <w:tcPr>
            <w:tcW w:w="2551" w:type="dxa"/>
            <w:noWrap w:val="0"/>
            <w:vAlign w:val="center"/>
          </w:tcPr>
          <w:p>
            <w:pPr>
              <w:widowControl/>
              <w:jc w:val="left"/>
              <w:rPr>
                <w:rFonts w:hint="eastAsia"/>
                <w:color w:val="000000"/>
                <w:sz w:val="20"/>
                <w:szCs w:val="20"/>
              </w:rPr>
            </w:pPr>
            <w:r>
              <w:rPr>
                <w:rFonts w:hint="eastAsia"/>
              </w:rPr>
              <w:t>道路运输电子证照 运输证</w:t>
            </w:r>
          </w:p>
        </w:tc>
        <w:tc>
          <w:tcPr>
            <w:tcW w:w="5724" w:type="dxa"/>
            <w:noWrap w:val="0"/>
            <w:vAlign w:val="center"/>
          </w:tcPr>
          <w:p>
            <w:pPr>
              <w:pStyle w:val="31"/>
              <w:rPr>
                <w:rFonts w:hint="eastAsia"/>
              </w:rPr>
            </w:pPr>
            <w:r>
              <w:rPr>
                <w:rFonts w:hint="eastAsia"/>
              </w:rPr>
              <w:t>本标准规定了道路运输电子证照中运输证的类型及文件要求、外观样式和信息内容。</w:t>
            </w:r>
          </w:p>
          <w:p>
            <w:pPr>
              <w:pStyle w:val="31"/>
              <w:rPr>
                <w:rFonts w:hint="eastAsia"/>
              </w:rPr>
            </w:pPr>
            <w:r>
              <w:rPr>
                <w:rFonts w:hint="eastAsia"/>
              </w:rPr>
              <w:t>本标准适用于中华人民共和国道路运输证和网络预约出租汽车运输证电子证照的生成、数据处理、交换与共享。</w:t>
            </w:r>
          </w:p>
        </w:tc>
        <w:tc>
          <w:tcPr>
            <w:tcW w:w="1500" w:type="dxa"/>
            <w:noWrap w:val="0"/>
            <w:vAlign w:val="center"/>
          </w:tcPr>
          <w:p>
            <w:pPr>
              <w:rPr>
                <w:rFonts w:hint="eastAsia"/>
                <w:color w:val="000000"/>
                <w:sz w:val="20"/>
                <w:szCs w:val="20"/>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pPr>
            <w:r>
              <w:rPr>
                <w:rFonts w:ascii="宋体" w:hAnsi="宋体"/>
                <w:color w:val="000000"/>
                <w:szCs w:val="21"/>
              </w:rPr>
              <w:t>JT/T 129</w:t>
            </w:r>
            <w:r>
              <w:rPr>
                <w:rFonts w:hint="eastAsia" w:ascii="宋体" w:hAnsi="宋体"/>
                <w:color w:val="000000"/>
                <w:szCs w:val="21"/>
              </w:rPr>
              <w:t>3</w:t>
            </w:r>
            <w:r>
              <w:rPr>
                <w:rFonts w:ascii="宋体" w:hAnsi="宋体"/>
                <w:color w:val="000000"/>
                <w:szCs w:val="21"/>
              </w:rPr>
              <w:t>—2019</w:t>
            </w:r>
          </w:p>
        </w:tc>
        <w:tc>
          <w:tcPr>
            <w:tcW w:w="2551" w:type="dxa"/>
            <w:noWrap w:val="0"/>
            <w:vAlign w:val="center"/>
          </w:tcPr>
          <w:p>
            <w:pPr>
              <w:widowControl/>
              <w:jc w:val="left"/>
              <w:rPr>
                <w:rFonts w:hint="eastAsia"/>
              </w:rPr>
            </w:pPr>
            <w:bookmarkStart w:id="4" w:name="_Hlk26354485"/>
            <w:r>
              <w:rPr>
                <w:rFonts w:hint="eastAsia"/>
              </w:rPr>
              <w:t>客运码头安全管理基本要求</w:t>
            </w:r>
            <w:bookmarkEnd w:id="4"/>
          </w:p>
        </w:tc>
        <w:tc>
          <w:tcPr>
            <w:tcW w:w="5724" w:type="dxa"/>
            <w:noWrap w:val="0"/>
            <w:vAlign w:val="center"/>
          </w:tcPr>
          <w:p>
            <w:pPr>
              <w:pStyle w:val="31"/>
              <w:rPr>
                <w:rFonts w:hint="eastAsia"/>
              </w:rPr>
            </w:pPr>
            <w:r>
              <w:rPr>
                <w:rFonts w:hint="eastAsia"/>
              </w:rPr>
              <w:t>本标准规定了客运码头安全营运、安全检查、应急疏散与救援等方面的安全管理基本要求。</w:t>
            </w:r>
          </w:p>
          <w:p>
            <w:pPr>
              <w:pStyle w:val="31"/>
              <w:rPr>
                <w:rFonts w:hint="eastAsia"/>
              </w:rPr>
            </w:pPr>
            <w:r>
              <w:rPr>
                <w:rFonts w:hint="eastAsia"/>
              </w:rPr>
              <w:t>本标准适用于客运码头的安全管理。</w:t>
            </w:r>
          </w:p>
        </w:tc>
        <w:tc>
          <w:tcPr>
            <w:tcW w:w="1500" w:type="dxa"/>
            <w:noWrap w:val="0"/>
            <w:vAlign w:val="center"/>
          </w:tcPr>
          <w:p>
            <w:pPr>
              <w:rPr>
                <w:rFonts w:hint="eastAsia"/>
                <w:color w:val="000000"/>
                <w:sz w:val="20"/>
                <w:szCs w:val="20"/>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JT/T 129</w:t>
            </w:r>
            <w:r>
              <w:rPr>
                <w:rFonts w:hint="eastAsia" w:ascii="宋体" w:hAnsi="宋体"/>
                <w:color w:val="000000"/>
                <w:szCs w:val="21"/>
              </w:rPr>
              <w:t>4</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邮轮港服务规范</w:t>
            </w:r>
          </w:p>
        </w:tc>
        <w:tc>
          <w:tcPr>
            <w:tcW w:w="5724" w:type="dxa"/>
            <w:noWrap w:val="0"/>
            <w:vAlign w:val="center"/>
          </w:tcPr>
          <w:p>
            <w:pPr>
              <w:pStyle w:val="31"/>
              <w:rPr>
                <w:rFonts w:hint="eastAsia"/>
              </w:rPr>
            </w:pPr>
            <w:r>
              <w:rPr>
                <w:rFonts w:hint="eastAsia"/>
              </w:rPr>
              <w:t>本标准规定了邮轮港服务的一般要求，以及设施设备、标志标识、服务人员、运营服务等要求。</w:t>
            </w:r>
          </w:p>
          <w:p>
            <w:pPr>
              <w:pStyle w:val="31"/>
              <w:rPr>
                <w:rFonts w:hint="eastAsia"/>
              </w:rPr>
            </w:pPr>
            <w:r>
              <w:rPr>
                <w:rFonts w:hint="eastAsia"/>
              </w:rPr>
              <w:t>本标准适用于邮轮港的服务</w:t>
            </w:r>
            <w:r>
              <w:rPr>
                <w:rFonts w:hint="eastAsia" w:eastAsia="宋体"/>
              </w:rPr>
              <w:t>和管理</w:t>
            </w:r>
            <w:r>
              <w:rPr>
                <w:rFonts w:hint="eastAsia"/>
              </w:rPr>
              <w:t>。</w:t>
            </w:r>
          </w:p>
        </w:tc>
        <w:tc>
          <w:tcPr>
            <w:tcW w:w="1500" w:type="dxa"/>
            <w:noWrap w:val="0"/>
            <w:vAlign w:val="center"/>
          </w:tcPr>
          <w:p>
            <w:pPr>
              <w:rPr>
                <w:rFonts w:hint="eastAsia"/>
                <w:color w:val="000000"/>
                <w:sz w:val="20"/>
                <w:szCs w:val="20"/>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JT/T 129</w:t>
            </w:r>
            <w:r>
              <w:rPr>
                <w:rFonts w:hint="eastAsia" w:ascii="宋体" w:hAnsi="宋体"/>
                <w:color w:val="000000"/>
                <w:szCs w:val="21"/>
              </w:rPr>
              <w:t>5</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道路大型物件运输规范</w:t>
            </w:r>
          </w:p>
        </w:tc>
        <w:tc>
          <w:tcPr>
            <w:tcW w:w="5724" w:type="dxa"/>
            <w:noWrap w:val="0"/>
            <w:vAlign w:val="center"/>
          </w:tcPr>
          <w:p>
            <w:pPr>
              <w:pStyle w:val="31"/>
              <w:rPr>
                <w:rFonts w:hint="eastAsia"/>
              </w:rPr>
            </w:pPr>
            <w:r>
              <w:rPr>
                <w:rFonts w:hint="eastAsia"/>
              </w:rPr>
              <w:t>本标准规定了道路大型物件运输承运人的基本要求，以及运输前准备、运输过程控制和交付验收要求。</w:t>
            </w:r>
          </w:p>
          <w:p>
            <w:pPr>
              <w:pStyle w:val="31"/>
              <w:rPr>
                <w:rFonts w:hint="eastAsia"/>
              </w:rPr>
            </w:pPr>
            <w:r>
              <w:rPr>
                <w:rFonts w:hint="eastAsia"/>
              </w:rPr>
              <w:t>本标准适用于道路大型物件承运人承运车货总高度从地面算起超过4.5m，或者总宽度超过3.75m，或者总长度超过28m，或者总质量超过100t的道路大型物件的运输活动，其他道路大型物件运输活动可参照使用。</w:t>
            </w:r>
          </w:p>
        </w:tc>
        <w:tc>
          <w:tcPr>
            <w:tcW w:w="1500" w:type="dxa"/>
            <w:noWrap w:val="0"/>
            <w:vAlign w:val="center"/>
          </w:tcPr>
          <w:p>
            <w:pPr>
              <w:rPr>
                <w:rFonts w:hint="eastAsia"/>
                <w:color w:val="000000"/>
                <w:sz w:val="20"/>
                <w:szCs w:val="20"/>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JT/T</w:t>
            </w:r>
            <w:r>
              <w:rPr>
                <w:rFonts w:hint="eastAsia" w:ascii="宋体" w:hAnsi="宋体"/>
                <w:color w:val="000000"/>
                <w:szCs w:val="21"/>
              </w:rPr>
              <w:t xml:space="preserve"> </w:t>
            </w:r>
            <w:r>
              <w:rPr>
                <w:rFonts w:ascii="宋体" w:hAnsi="宋体"/>
                <w:color w:val="000000"/>
                <w:szCs w:val="21"/>
              </w:rPr>
              <w:t>129</w:t>
            </w:r>
            <w:r>
              <w:rPr>
                <w:rFonts w:hint="eastAsia" w:ascii="宋体" w:hAnsi="宋体"/>
                <w:color w:val="000000"/>
                <w:szCs w:val="21"/>
              </w:rPr>
              <w:t>6</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道路大型物件运输企业等级</w:t>
            </w:r>
          </w:p>
        </w:tc>
        <w:tc>
          <w:tcPr>
            <w:tcW w:w="5724" w:type="dxa"/>
            <w:noWrap w:val="0"/>
            <w:vAlign w:val="center"/>
          </w:tcPr>
          <w:p>
            <w:pPr>
              <w:pStyle w:val="31"/>
              <w:rPr>
                <w:rFonts w:hint="eastAsia"/>
              </w:rPr>
            </w:pPr>
            <w:r>
              <w:rPr>
                <w:rFonts w:hint="eastAsia"/>
              </w:rPr>
              <w:t>本标准规定了道路大型物件运输企业的等级划分和等级条件。</w:t>
            </w:r>
          </w:p>
          <w:p>
            <w:pPr>
              <w:pStyle w:val="31"/>
              <w:rPr>
                <w:rFonts w:hint="eastAsia"/>
              </w:rPr>
            </w:pPr>
            <w:r>
              <w:rPr>
                <w:rFonts w:hint="eastAsia"/>
              </w:rPr>
              <w:t>本标准适用于从事营业性道路大型物件运输企业基于市场需求的自评，行业管理部门对道路大型物件运输企业分级指导，以及相关社团对道路大型物件运输企业的评定。</w:t>
            </w:r>
          </w:p>
        </w:tc>
        <w:tc>
          <w:tcPr>
            <w:tcW w:w="1500" w:type="dxa"/>
            <w:noWrap w:val="0"/>
            <w:vAlign w:val="center"/>
          </w:tcPr>
          <w:p>
            <w:pPr>
              <w:rPr>
                <w:rFonts w:hint="eastAsia"/>
                <w:color w:val="000000"/>
                <w:sz w:val="20"/>
                <w:szCs w:val="20"/>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bookmarkStart w:id="5" w:name="_Hlk26354605"/>
          </w:p>
        </w:tc>
        <w:tc>
          <w:tcPr>
            <w:tcW w:w="2000" w:type="dxa"/>
            <w:noWrap w:val="0"/>
            <w:vAlign w:val="center"/>
          </w:tcPr>
          <w:p>
            <w:pPr>
              <w:jc w:val="left"/>
              <w:rPr>
                <w:rFonts w:ascii="宋体" w:hAnsi="宋体"/>
                <w:color w:val="000000"/>
                <w:szCs w:val="21"/>
              </w:rPr>
            </w:pPr>
            <w:r>
              <w:rPr>
                <w:rFonts w:ascii="宋体" w:hAnsi="宋体"/>
                <w:color w:val="000000"/>
                <w:szCs w:val="21"/>
              </w:rPr>
              <w:t>JT/T</w:t>
            </w:r>
            <w:r>
              <w:rPr>
                <w:rFonts w:hint="eastAsia" w:ascii="宋体" w:hAnsi="宋体"/>
                <w:color w:val="000000"/>
                <w:szCs w:val="21"/>
              </w:rPr>
              <w:t xml:space="preserve"> </w:t>
            </w:r>
            <w:r>
              <w:rPr>
                <w:rFonts w:ascii="宋体" w:hAnsi="宋体"/>
                <w:color w:val="000000"/>
                <w:szCs w:val="21"/>
              </w:rPr>
              <w:t>129</w:t>
            </w:r>
            <w:r>
              <w:rPr>
                <w:rFonts w:hint="eastAsia" w:ascii="宋体" w:hAnsi="宋体"/>
                <w:color w:val="000000"/>
                <w:szCs w:val="21"/>
              </w:rPr>
              <w:t>7</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港口桅杆起重机安全规程</w:t>
            </w:r>
          </w:p>
        </w:tc>
        <w:tc>
          <w:tcPr>
            <w:tcW w:w="5724" w:type="dxa"/>
            <w:noWrap w:val="0"/>
            <w:vAlign w:val="center"/>
          </w:tcPr>
          <w:p>
            <w:pPr>
              <w:pStyle w:val="31"/>
              <w:rPr>
                <w:rFonts w:hint="eastAsia"/>
              </w:rPr>
            </w:pPr>
            <w:r>
              <w:rPr>
                <w:rFonts w:hint="eastAsia"/>
              </w:rPr>
              <w:t>本标准规定了港口桅杆起重机在设计、制造、安装、试验、使用与保养、检验与维修等方面的安全技术要求。</w:t>
            </w:r>
          </w:p>
          <w:p>
            <w:pPr>
              <w:pStyle w:val="31"/>
              <w:rPr>
                <w:rFonts w:hint="eastAsia"/>
              </w:rPr>
            </w:pPr>
            <w:r>
              <w:rPr>
                <w:rFonts w:hint="eastAsia"/>
              </w:rPr>
              <w:t>本标准适用于港口件杂货和散货等装卸作业的港口桅杆起重机。</w:t>
            </w:r>
          </w:p>
        </w:tc>
        <w:tc>
          <w:tcPr>
            <w:tcW w:w="1500" w:type="dxa"/>
            <w:noWrap w:val="0"/>
            <w:vAlign w:val="center"/>
          </w:tcPr>
          <w:p>
            <w:pPr>
              <w:rPr>
                <w:rFonts w:hint="eastAsia"/>
                <w:color w:val="000000"/>
                <w:sz w:val="20"/>
                <w:szCs w:val="20"/>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pPr>
            <w:r>
              <w:rPr>
                <w:rFonts w:ascii="宋体" w:hAnsi="宋体"/>
                <w:color w:val="000000"/>
                <w:szCs w:val="21"/>
              </w:rPr>
              <w:t>JT/T 1</w:t>
            </w:r>
            <w:r>
              <w:rPr>
                <w:rFonts w:hint="eastAsia" w:ascii="宋体" w:hAnsi="宋体"/>
                <w:color w:val="000000"/>
                <w:szCs w:val="21"/>
              </w:rPr>
              <w:t>298</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港口台架式起重机</w:t>
            </w:r>
          </w:p>
        </w:tc>
        <w:tc>
          <w:tcPr>
            <w:tcW w:w="5724" w:type="dxa"/>
            <w:noWrap w:val="0"/>
            <w:vAlign w:val="center"/>
          </w:tcPr>
          <w:p>
            <w:pPr>
              <w:pStyle w:val="31"/>
              <w:rPr>
                <w:rFonts w:hint="eastAsia"/>
              </w:rPr>
            </w:pPr>
            <w:r>
              <w:rPr>
                <w:rFonts w:hint="eastAsia"/>
              </w:rPr>
              <w:t>本标准规定了港口台架式起重机基本参数、技术要求、试验方法、检验规则，以及标志、包装、运输和储存等要求。</w:t>
            </w:r>
            <w:r>
              <w:rPr>
                <w:rFonts w:hint="eastAsia"/>
              </w:rPr>
              <w:br w:type="textWrapping"/>
            </w:r>
            <w:r>
              <w:rPr>
                <w:rFonts w:hint="eastAsia"/>
              </w:rPr>
              <w:t xml:space="preserve">    本标准适用于港口件杂货、散货和集装箱等装卸作业的各种台架式起重机的生产、检验和使用。</w:t>
            </w:r>
          </w:p>
        </w:tc>
        <w:tc>
          <w:tcPr>
            <w:tcW w:w="1500" w:type="dxa"/>
            <w:noWrap w:val="0"/>
            <w:vAlign w:val="center"/>
          </w:tcPr>
          <w:p>
            <w:pPr>
              <w:rPr>
                <w:rFonts w:hint="eastAsia"/>
                <w:color w:val="000000"/>
                <w:sz w:val="20"/>
                <w:szCs w:val="20"/>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JT/T 1</w:t>
            </w:r>
            <w:r>
              <w:rPr>
                <w:rFonts w:hint="eastAsia" w:ascii="宋体" w:hAnsi="宋体"/>
                <w:color w:val="000000"/>
                <w:szCs w:val="21"/>
              </w:rPr>
              <w:t>299</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干散货港口设备联动试车技术要求</w:t>
            </w:r>
          </w:p>
        </w:tc>
        <w:tc>
          <w:tcPr>
            <w:tcW w:w="5724" w:type="dxa"/>
            <w:noWrap w:val="0"/>
            <w:vAlign w:val="center"/>
          </w:tcPr>
          <w:p>
            <w:pPr>
              <w:pStyle w:val="31"/>
              <w:rPr>
                <w:rFonts w:hint="eastAsia"/>
              </w:rPr>
            </w:pPr>
            <w:r>
              <w:rPr>
                <w:rFonts w:hint="eastAsia"/>
              </w:rPr>
              <w:t>本标准规定了干散货港口设备联动试车的一般规定、总体方案、单机试车、联动试车、生产性能考核、安全工作及交接验收等要求。</w:t>
            </w:r>
          </w:p>
          <w:p>
            <w:pPr>
              <w:pStyle w:val="31"/>
              <w:rPr>
                <w:rFonts w:hint="eastAsia"/>
              </w:rPr>
            </w:pPr>
            <w:r>
              <w:rPr>
                <w:rFonts w:hint="eastAsia"/>
              </w:rPr>
              <w:t>本标准适用于煤炭、矿石、粮食干散货码头设备联动试车，水泥、化肥等其他码头可参照使用。</w:t>
            </w:r>
          </w:p>
        </w:tc>
        <w:tc>
          <w:tcPr>
            <w:tcW w:w="1500" w:type="dxa"/>
            <w:noWrap w:val="0"/>
            <w:vAlign w:val="center"/>
          </w:tcPr>
          <w:p>
            <w:pPr>
              <w:rPr>
                <w:rFonts w:hint="eastAsia"/>
                <w:color w:val="000000"/>
                <w:sz w:val="20"/>
                <w:szCs w:val="20"/>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pPr>
            <w:r>
              <w:rPr>
                <w:rFonts w:ascii="宋体" w:hAnsi="宋体"/>
                <w:color w:val="000000"/>
                <w:szCs w:val="21"/>
              </w:rPr>
              <w:t>JT/T</w:t>
            </w:r>
            <w:r>
              <w:rPr>
                <w:rFonts w:hint="eastAsia" w:ascii="宋体" w:hAnsi="宋体"/>
                <w:color w:val="000000"/>
                <w:szCs w:val="21"/>
              </w:rPr>
              <w:t xml:space="preserve"> </w:t>
            </w:r>
            <w:r>
              <w:rPr>
                <w:rFonts w:ascii="宋体" w:hAnsi="宋体"/>
                <w:color w:val="000000"/>
                <w:szCs w:val="21"/>
              </w:rPr>
              <w:t>1</w:t>
            </w:r>
            <w:r>
              <w:rPr>
                <w:rFonts w:hint="eastAsia" w:ascii="宋体" w:hAnsi="宋体"/>
                <w:color w:val="000000"/>
                <w:szCs w:val="21"/>
              </w:rPr>
              <w:t>300</w:t>
            </w:r>
            <w:r>
              <w:rPr>
                <w:rFonts w:ascii="宋体" w:hAnsi="宋体"/>
                <w:color w:val="000000"/>
                <w:szCs w:val="21"/>
              </w:rPr>
              <w:t>—2019</w:t>
            </w:r>
          </w:p>
        </w:tc>
        <w:tc>
          <w:tcPr>
            <w:tcW w:w="2551" w:type="dxa"/>
            <w:noWrap w:val="0"/>
            <w:vAlign w:val="center"/>
          </w:tcPr>
          <w:p>
            <w:pPr>
              <w:widowControl/>
              <w:jc w:val="left"/>
              <w:rPr>
                <w:rFonts w:hint="eastAsia"/>
              </w:rPr>
            </w:pPr>
            <w:bookmarkStart w:id="6" w:name="_Hlk26354582"/>
            <w:r>
              <w:rPr>
                <w:rFonts w:hint="eastAsia"/>
              </w:rPr>
              <w:t>北斗船用应急无线电示位标技术要求及测试方法</w:t>
            </w:r>
            <w:bookmarkEnd w:id="6"/>
          </w:p>
        </w:tc>
        <w:tc>
          <w:tcPr>
            <w:tcW w:w="5724" w:type="dxa"/>
            <w:noWrap w:val="0"/>
            <w:vAlign w:val="center"/>
          </w:tcPr>
          <w:p>
            <w:pPr>
              <w:pStyle w:val="31"/>
              <w:rPr>
                <w:rFonts w:hint="eastAsia"/>
              </w:rPr>
            </w:pPr>
            <w:r>
              <w:rPr>
                <w:rFonts w:hint="eastAsia"/>
              </w:rPr>
              <w:t>本标准规定了北斗船用应急无线电示位标的总体组成和一般要求、功能要求、性能要求、测试方法及要求的结果。</w:t>
            </w:r>
          </w:p>
          <w:p>
            <w:pPr>
              <w:pStyle w:val="31"/>
              <w:rPr>
                <w:rFonts w:hint="eastAsia"/>
              </w:rPr>
            </w:pPr>
            <w:r>
              <w:rPr>
                <w:rFonts w:hint="eastAsia"/>
              </w:rPr>
              <w:t>本标准适用于北斗船用应急无线电示位标的设计、生产和检测。</w:t>
            </w:r>
          </w:p>
        </w:tc>
        <w:tc>
          <w:tcPr>
            <w:tcW w:w="1500" w:type="dxa"/>
            <w:noWrap w:val="0"/>
            <w:vAlign w:val="center"/>
          </w:tcPr>
          <w:p>
            <w:pPr>
              <w:rPr>
                <w:rFonts w:hint="eastAsia"/>
                <w:color w:val="000000"/>
                <w:sz w:val="20"/>
                <w:szCs w:val="20"/>
              </w:rPr>
            </w:pPr>
          </w:p>
        </w:tc>
        <w:tc>
          <w:tcPr>
            <w:tcW w:w="1148" w:type="dxa"/>
            <w:noWrap w:val="0"/>
            <w:vAlign w:val="center"/>
          </w:tcPr>
          <w:p>
            <w:pPr>
              <w:widowControl/>
              <w:jc w:val="left"/>
              <w:rPr>
                <w:rFonts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bookmarkStart w:id="7" w:name="_Hlk26355152"/>
          </w:p>
        </w:tc>
        <w:tc>
          <w:tcPr>
            <w:tcW w:w="2000" w:type="dxa"/>
            <w:noWrap w:val="0"/>
            <w:vAlign w:val="center"/>
          </w:tcPr>
          <w:p>
            <w:pPr>
              <w:jc w:val="left"/>
              <w:rPr>
                <w:rFonts w:ascii="宋体" w:hAnsi="宋体"/>
                <w:color w:val="000000"/>
                <w:szCs w:val="21"/>
              </w:rPr>
            </w:pPr>
            <w:r>
              <w:rPr>
                <w:rFonts w:ascii="宋体" w:hAnsi="宋体"/>
                <w:color w:val="000000"/>
                <w:szCs w:val="21"/>
              </w:rPr>
              <w:t>JT/T 130</w:t>
            </w:r>
            <w:r>
              <w:rPr>
                <w:rFonts w:hint="eastAsia" w:ascii="宋体" w:hAnsi="宋体"/>
                <w:color w:val="000000"/>
                <w:szCs w:val="21"/>
              </w:rPr>
              <w:t>1</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城市客车塞拉门</w:t>
            </w:r>
          </w:p>
        </w:tc>
        <w:tc>
          <w:tcPr>
            <w:tcW w:w="5724" w:type="dxa"/>
            <w:noWrap w:val="0"/>
            <w:vAlign w:val="center"/>
          </w:tcPr>
          <w:p>
            <w:pPr>
              <w:pStyle w:val="31"/>
              <w:rPr>
                <w:rFonts w:hint="eastAsia"/>
              </w:rPr>
            </w:pPr>
            <w:r>
              <w:rPr>
                <w:rFonts w:hint="eastAsia"/>
              </w:rPr>
              <w:t>本标准规定了城市客车塞拉门的分类、技术要求、试验方法、检验规则，以及标志、包装、运输和储存等要求。</w:t>
            </w:r>
          </w:p>
          <w:p>
            <w:pPr>
              <w:pStyle w:val="31"/>
              <w:rPr>
                <w:rFonts w:hint="eastAsia"/>
              </w:rPr>
            </w:pPr>
            <w:r>
              <w:rPr>
                <w:rFonts w:hint="eastAsia"/>
              </w:rPr>
              <w:t>本标准适用于M2和M3类中Ⅰ级、Ⅱ级和A级客车（包括无轨电车）用塞拉门的生产、检验和使用，其他客车用塞拉门可参照使用。</w:t>
            </w:r>
          </w:p>
        </w:tc>
        <w:tc>
          <w:tcPr>
            <w:tcW w:w="1500" w:type="dxa"/>
            <w:noWrap w:val="0"/>
            <w:vAlign w:val="center"/>
          </w:tcPr>
          <w:p>
            <w:pPr>
              <w:rPr>
                <w:rFonts w:hint="eastAsia" w:ascii="宋体" w:hAnsi="宋体"/>
                <w:color w:val="000000"/>
                <w:szCs w:val="21"/>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pPr>
            <w:r>
              <w:rPr>
                <w:rFonts w:ascii="宋体" w:hAnsi="宋体"/>
                <w:color w:val="000000"/>
                <w:szCs w:val="21"/>
              </w:rPr>
              <w:t>JT/T 1</w:t>
            </w:r>
            <w:r>
              <w:rPr>
                <w:rFonts w:hint="eastAsia" w:ascii="宋体" w:hAnsi="宋体"/>
                <w:color w:val="000000"/>
                <w:szCs w:val="21"/>
              </w:rPr>
              <w:t>302.1</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机动车驾驶员计时培训系统 第1部分：计时终端技术要求</w:t>
            </w:r>
          </w:p>
        </w:tc>
        <w:tc>
          <w:tcPr>
            <w:tcW w:w="5724" w:type="dxa"/>
            <w:noWrap w:val="0"/>
            <w:vAlign w:val="center"/>
          </w:tcPr>
          <w:p>
            <w:pPr>
              <w:pStyle w:val="31"/>
              <w:rPr>
                <w:rFonts w:hint="eastAsia"/>
              </w:rPr>
            </w:pPr>
            <w:r>
              <w:rPr>
                <w:rFonts w:hint="eastAsia"/>
              </w:rPr>
              <w:t xml:space="preserve">JT/T </w:t>
            </w:r>
            <w:r>
              <w:rPr>
                <w:rFonts w:hint="eastAsia" w:eastAsia="宋体"/>
              </w:rPr>
              <w:t>1302</w:t>
            </w:r>
            <w:r>
              <w:rPr>
                <w:rFonts w:hint="eastAsia"/>
              </w:rPr>
              <w:t>的本部分规定了机动车驾驶员计时培训系统计时终端的一般要求、功能要求、性能要求和安装要求。</w:t>
            </w:r>
          </w:p>
          <w:p>
            <w:pPr>
              <w:pStyle w:val="31"/>
              <w:rPr>
                <w:rFonts w:hint="eastAsia"/>
              </w:rPr>
            </w:pPr>
            <w:r>
              <w:rPr>
                <w:rFonts w:hint="eastAsia"/>
              </w:rPr>
              <w:t>本部分适用于机动车驾驶员培训机构组织开展课堂教学、模拟驾驶训练和实际驾驶操作训练时，记录学员培训学时等信息所使用的计时终端。</w:t>
            </w:r>
          </w:p>
        </w:tc>
        <w:tc>
          <w:tcPr>
            <w:tcW w:w="1500" w:type="dxa"/>
            <w:noWrap w:val="0"/>
            <w:vAlign w:val="center"/>
          </w:tcPr>
          <w:p>
            <w:pPr>
              <w:rPr>
                <w:rFonts w:hint="eastAsia"/>
                <w:color w:val="000000"/>
                <w:sz w:val="20"/>
                <w:szCs w:val="20"/>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JT/T 130</w:t>
            </w:r>
            <w:r>
              <w:rPr>
                <w:rFonts w:hint="eastAsia" w:ascii="宋体" w:hAnsi="宋体"/>
                <w:color w:val="000000"/>
                <w:szCs w:val="21"/>
              </w:rPr>
              <w:t>3</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重负荷机动车发动机冷却液用补充添加剂</w:t>
            </w:r>
          </w:p>
        </w:tc>
        <w:tc>
          <w:tcPr>
            <w:tcW w:w="5724" w:type="dxa"/>
            <w:noWrap w:val="0"/>
            <w:vAlign w:val="center"/>
          </w:tcPr>
          <w:p>
            <w:pPr>
              <w:pStyle w:val="31"/>
              <w:rPr>
                <w:rFonts w:hint="eastAsia"/>
              </w:rPr>
            </w:pPr>
            <w:r>
              <w:rPr>
                <w:rFonts w:hint="eastAsia"/>
              </w:rPr>
              <w:t>本标准规定了重负荷机动车发动机冷却液用补充添加剂的技术要求和试验方法、检验规则，以及标志和储存等要求。</w:t>
            </w:r>
          </w:p>
          <w:p>
            <w:pPr>
              <w:pStyle w:val="31"/>
              <w:rPr>
                <w:rFonts w:hint="eastAsia"/>
              </w:rPr>
            </w:pPr>
            <w:r>
              <w:rPr>
                <w:rFonts w:hint="eastAsia"/>
              </w:rPr>
              <w:t>本标准适用于含亚硝酸盐、钼酸盐组分的重负荷机动车发动机冷却液用补充添加剂的生产、检验和使用。</w:t>
            </w:r>
          </w:p>
        </w:tc>
        <w:tc>
          <w:tcPr>
            <w:tcW w:w="1500" w:type="dxa"/>
            <w:noWrap w:val="0"/>
            <w:vAlign w:val="center"/>
          </w:tcPr>
          <w:p>
            <w:pPr>
              <w:rPr>
                <w:rFonts w:hint="eastAsia"/>
                <w:color w:val="000000"/>
                <w:sz w:val="20"/>
                <w:szCs w:val="20"/>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JT/T 130</w:t>
            </w:r>
            <w:r>
              <w:rPr>
                <w:rFonts w:hint="eastAsia" w:ascii="宋体" w:hAnsi="宋体"/>
                <w:color w:val="000000"/>
                <w:szCs w:val="21"/>
              </w:rPr>
              <w:t>4</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发动机冷却液气穴腐蚀特性试验用铝制离心泵技术条件</w:t>
            </w:r>
          </w:p>
        </w:tc>
        <w:tc>
          <w:tcPr>
            <w:tcW w:w="5724" w:type="dxa"/>
            <w:noWrap w:val="0"/>
            <w:vAlign w:val="center"/>
          </w:tcPr>
          <w:p>
            <w:pPr>
              <w:pStyle w:val="31"/>
              <w:rPr>
                <w:rFonts w:hint="eastAsia"/>
              </w:rPr>
            </w:pPr>
            <w:r>
              <w:rPr>
                <w:rFonts w:hint="eastAsia"/>
              </w:rPr>
              <w:t>本标准规定了发动机冷却液气穴腐蚀特性试验用铝制离心泵的技术要求和试验方法。</w:t>
            </w:r>
          </w:p>
          <w:p>
            <w:pPr>
              <w:pStyle w:val="31"/>
              <w:rPr>
                <w:rFonts w:hint="eastAsia"/>
              </w:rPr>
            </w:pPr>
            <w:r>
              <w:rPr>
                <w:rFonts w:hint="eastAsia"/>
              </w:rPr>
              <w:t>本标准适用于发动机冷却液气穴腐蚀特性试验用铝制离心泵的生产和检验。</w:t>
            </w:r>
          </w:p>
        </w:tc>
        <w:tc>
          <w:tcPr>
            <w:tcW w:w="1500" w:type="dxa"/>
            <w:noWrap w:val="0"/>
            <w:vAlign w:val="center"/>
          </w:tcPr>
          <w:p>
            <w:pPr>
              <w:rPr>
                <w:rFonts w:hint="eastAsia"/>
                <w:color w:val="000000"/>
                <w:sz w:val="20"/>
                <w:szCs w:val="20"/>
              </w:rPr>
            </w:pP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JT/T 30</w:t>
            </w:r>
            <w:r>
              <w:rPr>
                <w:rFonts w:hint="eastAsia" w:ascii="宋体" w:hAnsi="宋体"/>
                <w:color w:val="000000"/>
                <w:szCs w:val="21"/>
              </w:rPr>
              <w:t>1</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公路交叉分类与编码规则</w:t>
            </w:r>
          </w:p>
        </w:tc>
        <w:tc>
          <w:tcPr>
            <w:tcW w:w="5724" w:type="dxa"/>
            <w:noWrap w:val="0"/>
            <w:vAlign w:val="center"/>
          </w:tcPr>
          <w:p>
            <w:pPr>
              <w:pStyle w:val="31"/>
              <w:rPr>
                <w:rFonts w:hint="eastAsia"/>
              </w:rPr>
            </w:pPr>
            <w:r>
              <w:rPr>
                <w:rFonts w:hint="eastAsia"/>
              </w:rPr>
              <w:t>本标准规定了公路交叉分类、公路交叉种类代码编制规则、公路交叉形式分类与代码、公路交叉分枝代码、编码规则与代码结构。</w:t>
            </w:r>
          </w:p>
          <w:p>
            <w:pPr>
              <w:pStyle w:val="31"/>
              <w:rPr>
                <w:rFonts w:hint="eastAsia"/>
              </w:rPr>
            </w:pPr>
            <w:r>
              <w:rPr>
                <w:rFonts w:hint="eastAsia"/>
              </w:rPr>
              <w:t>本标准适用于全国公路交叉信息的标识、管理和交换。</w:t>
            </w:r>
          </w:p>
        </w:tc>
        <w:tc>
          <w:tcPr>
            <w:tcW w:w="1500" w:type="dxa"/>
            <w:noWrap w:val="0"/>
            <w:vAlign w:val="center"/>
          </w:tcPr>
          <w:p>
            <w:pPr>
              <w:rPr>
                <w:rFonts w:hint="eastAsia" w:ascii="等线" w:hAnsi="等线" w:eastAsia="等线"/>
                <w:color w:val="000000"/>
                <w:sz w:val="22"/>
              </w:rPr>
            </w:pPr>
            <w:r>
              <w:rPr>
                <w:rFonts w:hint="eastAsia" w:ascii="宋体" w:hAnsi="宋体"/>
                <w:color w:val="000000"/>
                <w:szCs w:val="21"/>
              </w:rPr>
              <w:t>JT/T 301—1996</w:t>
            </w:r>
          </w:p>
        </w:tc>
        <w:tc>
          <w:tcPr>
            <w:tcW w:w="1148" w:type="dxa"/>
            <w:noWrap w:val="0"/>
            <w:vAlign w:val="center"/>
          </w:tcPr>
          <w:p>
            <w:pPr>
              <w:widowControl/>
              <w:jc w:val="left"/>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 xml:space="preserve">JT/T </w:t>
            </w:r>
            <w:r>
              <w:rPr>
                <w:rFonts w:hint="eastAsia" w:ascii="宋体" w:hAnsi="宋体"/>
                <w:color w:val="000000"/>
                <w:szCs w:val="21"/>
              </w:rPr>
              <w:t>766.1</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北斗卫星导航系统船载终端  第1部分：技术要求</w:t>
            </w:r>
          </w:p>
        </w:tc>
        <w:tc>
          <w:tcPr>
            <w:tcW w:w="5724" w:type="dxa"/>
            <w:noWrap w:val="0"/>
            <w:vAlign w:val="center"/>
          </w:tcPr>
          <w:p>
            <w:pPr>
              <w:pStyle w:val="31"/>
              <w:rPr>
                <w:rFonts w:hint="eastAsia"/>
              </w:rPr>
            </w:pPr>
            <w:r>
              <w:rPr>
                <w:rFonts w:hint="eastAsia"/>
              </w:rPr>
              <w:t>JT/T 766的本部分规定了北斗卫星导航系统船载终端的技术要求，包括一般要求、功能要求、性能要求、环境条件、安装、使用和维护及其他要求。</w:t>
            </w:r>
          </w:p>
          <w:p>
            <w:pPr>
              <w:pStyle w:val="31"/>
              <w:rPr>
                <w:rFonts w:hint="eastAsia"/>
              </w:rPr>
            </w:pPr>
            <w:r>
              <w:rPr>
                <w:rFonts w:hint="eastAsia"/>
              </w:rPr>
              <w:t>本部分适用于交通运输行业应用的北斗卫星导航系统船载终端。</w:t>
            </w:r>
          </w:p>
        </w:tc>
        <w:tc>
          <w:tcPr>
            <w:tcW w:w="1500" w:type="dxa"/>
            <w:noWrap w:val="0"/>
            <w:vAlign w:val="center"/>
          </w:tcPr>
          <w:p>
            <w:pPr>
              <w:rPr>
                <w:rFonts w:hint="eastAsia" w:ascii="等线" w:hAnsi="等线" w:eastAsia="等线"/>
                <w:color w:val="000000"/>
                <w:sz w:val="22"/>
              </w:rPr>
            </w:pPr>
            <w:r>
              <w:rPr>
                <w:rFonts w:hint="eastAsia" w:ascii="宋体" w:hAnsi="宋体"/>
                <w:color w:val="000000"/>
                <w:szCs w:val="21"/>
              </w:rPr>
              <w:t>JT/T 766—2009</w:t>
            </w: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 xml:space="preserve">JT/T </w:t>
            </w:r>
            <w:r>
              <w:rPr>
                <w:rFonts w:hint="eastAsia" w:ascii="宋体" w:hAnsi="宋体"/>
                <w:color w:val="000000"/>
                <w:szCs w:val="21"/>
              </w:rPr>
              <w:t>766.</w:t>
            </w:r>
            <w:r>
              <w:rPr>
                <w:rFonts w:ascii="宋体" w:hAnsi="宋体"/>
                <w:color w:val="000000"/>
                <w:szCs w:val="21"/>
              </w:rPr>
              <w:t>2—2019</w:t>
            </w:r>
          </w:p>
        </w:tc>
        <w:tc>
          <w:tcPr>
            <w:tcW w:w="2551" w:type="dxa"/>
            <w:noWrap w:val="0"/>
            <w:vAlign w:val="center"/>
          </w:tcPr>
          <w:p>
            <w:pPr>
              <w:widowControl/>
              <w:jc w:val="left"/>
              <w:rPr>
                <w:rFonts w:hint="eastAsia"/>
              </w:rPr>
            </w:pPr>
            <w:r>
              <w:rPr>
                <w:rFonts w:hint="eastAsia"/>
              </w:rPr>
              <w:t>北斗卫星导航系统船载终端  第2部分：数据交换协议</w:t>
            </w:r>
          </w:p>
        </w:tc>
        <w:tc>
          <w:tcPr>
            <w:tcW w:w="5724" w:type="dxa"/>
            <w:noWrap w:val="0"/>
            <w:vAlign w:val="center"/>
          </w:tcPr>
          <w:p>
            <w:pPr>
              <w:pStyle w:val="31"/>
              <w:rPr>
                <w:rFonts w:hint="eastAsia"/>
              </w:rPr>
            </w:pPr>
            <w:r>
              <w:rPr>
                <w:rFonts w:hint="eastAsia"/>
              </w:rPr>
              <w:t>JT/T 766的本部分规定了北斗卫星导航系统船载终端数据交换协议，包括接口、数据格式定义、数据内容及说明等要求。</w:t>
            </w:r>
          </w:p>
          <w:p>
            <w:pPr>
              <w:pStyle w:val="31"/>
              <w:rPr>
                <w:rFonts w:hint="eastAsia"/>
              </w:rPr>
            </w:pPr>
            <w:r>
              <w:rPr>
                <w:rFonts w:hint="eastAsia"/>
              </w:rPr>
              <w:t>本部分适用于交通运输行业应用的北斗卫星导航系统船载终端。</w:t>
            </w:r>
          </w:p>
        </w:tc>
        <w:tc>
          <w:tcPr>
            <w:tcW w:w="1500" w:type="dxa"/>
            <w:noWrap w:val="0"/>
            <w:vAlign w:val="center"/>
          </w:tcPr>
          <w:p>
            <w:pPr>
              <w:rPr>
                <w:rFonts w:hint="eastAsia" w:ascii="等线" w:hAnsi="等线" w:eastAsia="等线"/>
                <w:color w:val="000000"/>
                <w:sz w:val="22"/>
              </w:rPr>
            </w:pPr>
            <w:r>
              <w:rPr>
                <w:rFonts w:hint="eastAsia" w:ascii="宋体" w:hAnsi="宋体"/>
                <w:color w:val="000000"/>
                <w:szCs w:val="21"/>
              </w:rPr>
              <w:t>JT/T 767—2009</w:t>
            </w: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JT/T 797—2019</w:t>
            </w:r>
          </w:p>
        </w:tc>
        <w:tc>
          <w:tcPr>
            <w:tcW w:w="2551" w:type="dxa"/>
            <w:noWrap w:val="0"/>
            <w:vAlign w:val="center"/>
          </w:tcPr>
          <w:p>
            <w:pPr>
              <w:widowControl/>
              <w:jc w:val="left"/>
              <w:rPr>
                <w:rFonts w:hint="eastAsia"/>
              </w:rPr>
            </w:pPr>
            <w:r>
              <w:rPr>
                <w:rFonts w:hint="eastAsia"/>
              </w:rPr>
              <w:t>路用废胎橡胶粉</w:t>
            </w:r>
          </w:p>
        </w:tc>
        <w:tc>
          <w:tcPr>
            <w:tcW w:w="5724" w:type="dxa"/>
            <w:noWrap w:val="0"/>
            <w:vAlign w:val="center"/>
          </w:tcPr>
          <w:p>
            <w:pPr>
              <w:pStyle w:val="31"/>
              <w:rPr>
                <w:rFonts w:hint="eastAsia"/>
              </w:rPr>
            </w:pPr>
            <w:r>
              <w:rPr>
                <w:rFonts w:hint="eastAsia"/>
              </w:rPr>
              <w:t>本标准规定了路用废胎橡胶粉的分类和规格、技术要求、试验方法、检验规则，以及标志、包装、运输和储存等要求。</w:t>
            </w:r>
          </w:p>
          <w:p>
            <w:pPr>
              <w:pStyle w:val="31"/>
              <w:rPr>
                <w:rFonts w:hint="eastAsia"/>
              </w:rPr>
            </w:pPr>
            <w:r>
              <w:rPr>
                <w:rFonts w:hint="eastAsia"/>
              </w:rPr>
              <w:t>本标准适用于废轮胎加工成的路用橡胶粉的生产、检验和使用。</w:t>
            </w:r>
          </w:p>
        </w:tc>
        <w:tc>
          <w:tcPr>
            <w:tcW w:w="1500" w:type="dxa"/>
            <w:noWrap w:val="0"/>
            <w:vAlign w:val="center"/>
          </w:tcPr>
          <w:p>
            <w:pPr>
              <w:rPr>
                <w:rFonts w:hint="eastAsia" w:ascii="宋体" w:hAnsi="宋体"/>
                <w:color w:val="000000"/>
                <w:szCs w:val="21"/>
              </w:rPr>
            </w:pPr>
            <w:r>
              <w:rPr>
                <w:rFonts w:ascii="宋体" w:hAnsi="宋体"/>
                <w:color w:val="000000"/>
                <w:szCs w:val="21"/>
              </w:rPr>
              <w:t>JT/T 797—2011</w:t>
            </w: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JT/T 798—2019</w:t>
            </w:r>
          </w:p>
        </w:tc>
        <w:tc>
          <w:tcPr>
            <w:tcW w:w="2551" w:type="dxa"/>
            <w:noWrap w:val="0"/>
            <w:vAlign w:val="center"/>
          </w:tcPr>
          <w:p>
            <w:pPr>
              <w:widowControl/>
              <w:jc w:val="left"/>
              <w:rPr>
                <w:rFonts w:hint="eastAsia"/>
              </w:rPr>
            </w:pPr>
            <w:r>
              <w:rPr>
                <w:rFonts w:hint="eastAsia"/>
              </w:rPr>
              <w:t>路用废胎胶粉橡胶沥青</w:t>
            </w:r>
          </w:p>
        </w:tc>
        <w:tc>
          <w:tcPr>
            <w:tcW w:w="5724" w:type="dxa"/>
            <w:noWrap w:val="0"/>
            <w:vAlign w:val="center"/>
          </w:tcPr>
          <w:p>
            <w:pPr>
              <w:pStyle w:val="31"/>
              <w:rPr>
                <w:rFonts w:hint="eastAsia"/>
              </w:rPr>
            </w:pPr>
            <w:r>
              <w:rPr>
                <w:rFonts w:hint="eastAsia"/>
              </w:rPr>
              <w:t>本标准规定了路用废胎胶粉橡胶沥青的分类、技术要求、试验方法、检验规则，以及标志、运输和储存等要求。</w:t>
            </w:r>
          </w:p>
          <w:p>
            <w:pPr>
              <w:pStyle w:val="31"/>
              <w:rPr>
                <w:rFonts w:hint="eastAsia"/>
              </w:rPr>
            </w:pPr>
            <w:r>
              <w:rPr>
                <w:rFonts w:hint="eastAsia"/>
              </w:rPr>
              <w:t>本标准适用于路用废胎胶粉橡胶沥青的生产、检验和使用。</w:t>
            </w:r>
          </w:p>
        </w:tc>
        <w:tc>
          <w:tcPr>
            <w:tcW w:w="1500" w:type="dxa"/>
            <w:noWrap w:val="0"/>
            <w:vAlign w:val="center"/>
          </w:tcPr>
          <w:p>
            <w:pPr>
              <w:rPr>
                <w:rFonts w:hint="eastAsia" w:ascii="宋体" w:hAnsi="宋体"/>
                <w:color w:val="000000"/>
                <w:szCs w:val="21"/>
              </w:rPr>
            </w:pPr>
            <w:r>
              <w:rPr>
                <w:rFonts w:ascii="宋体" w:hAnsi="宋体"/>
                <w:color w:val="000000"/>
                <w:szCs w:val="21"/>
              </w:rPr>
              <w:t>JT/T 798—2011</w:t>
            </w: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 xml:space="preserve">JT/T </w:t>
            </w:r>
            <w:r>
              <w:rPr>
                <w:rFonts w:hint="eastAsia" w:ascii="宋体" w:hAnsi="宋体"/>
                <w:color w:val="000000"/>
                <w:szCs w:val="21"/>
              </w:rPr>
              <w:t>815.1</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港口船舶岸基供电系统操作技术规程  第1部分：高压供电</w:t>
            </w:r>
          </w:p>
        </w:tc>
        <w:tc>
          <w:tcPr>
            <w:tcW w:w="5724" w:type="dxa"/>
            <w:noWrap w:val="0"/>
            <w:vAlign w:val="center"/>
          </w:tcPr>
          <w:p>
            <w:pPr>
              <w:pStyle w:val="31"/>
              <w:rPr>
                <w:rFonts w:hint="eastAsia"/>
              </w:rPr>
            </w:pPr>
            <w:r>
              <w:rPr>
                <w:rFonts w:hint="eastAsia"/>
              </w:rPr>
              <w:t>JT/T 815的本部分规定了港口船舶岸基供电系统高压供电操作的基本要求，以及准备、连接、供电、断电和维护等操作技术规程。</w:t>
            </w:r>
            <w:r>
              <w:rPr>
                <w:rFonts w:hint="eastAsia"/>
              </w:rPr>
              <w:br w:type="textWrapping"/>
            </w:r>
            <w:r>
              <w:rPr>
                <w:rFonts w:hint="eastAsia"/>
              </w:rPr>
              <w:t xml:space="preserve">    本部分适用于集装箱、滚</w:t>
            </w:r>
            <w:r>
              <w:rPr>
                <w:rFonts w:hint="eastAsia" w:eastAsia="宋体"/>
              </w:rPr>
              <w:t>装</w:t>
            </w:r>
            <w:r>
              <w:rPr>
                <w:rFonts w:hint="eastAsia"/>
              </w:rPr>
              <w:t>、邮轮、客运</w:t>
            </w:r>
            <w:r>
              <w:rPr>
                <w:rFonts w:hint="eastAsia" w:eastAsia="宋体"/>
              </w:rPr>
              <w:t>、</w:t>
            </w:r>
            <w:r>
              <w:rPr>
                <w:rFonts w:hint="eastAsia"/>
              </w:rPr>
              <w:t>干散货</w:t>
            </w:r>
            <w:r>
              <w:rPr>
                <w:rFonts w:hint="eastAsia" w:eastAsia="宋体"/>
              </w:rPr>
              <w:t>、件杂货等</w:t>
            </w:r>
            <w:r>
              <w:rPr>
                <w:rFonts w:hint="eastAsia"/>
              </w:rPr>
              <w:t>专业化泊位采用高压供电形式的船舶岸基供电系统。</w:t>
            </w:r>
          </w:p>
        </w:tc>
        <w:tc>
          <w:tcPr>
            <w:tcW w:w="1500" w:type="dxa"/>
            <w:noWrap w:val="0"/>
            <w:vAlign w:val="center"/>
          </w:tcPr>
          <w:p>
            <w:pPr>
              <w:jc w:val="left"/>
              <w:rPr>
                <w:rFonts w:hint="eastAsia" w:ascii="等线" w:hAnsi="等线" w:eastAsia="等线"/>
                <w:color w:val="000000"/>
                <w:sz w:val="22"/>
              </w:rPr>
            </w:pPr>
            <w:r>
              <w:rPr>
                <w:rFonts w:hint="eastAsia" w:ascii="宋体" w:hAnsi="宋体"/>
                <w:color w:val="000000"/>
                <w:szCs w:val="21"/>
              </w:rPr>
              <w:t>JT/T 815.1-2012</w:t>
            </w: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wBefore w:w="0" w:type="dxa"/>
          <w:wAfter w:w="0" w:type="dxa"/>
          <w:cantSplit/>
          <w:trHeight w:val="73" w:hRule="atLeast"/>
        </w:trPr>
        <w:tc>
          <w:tcPr>
            <w:tcW w:w="575" w:type="dxa"/>
            <w:noWrap w:val="0"/>
            <w:vAlign w:val="center"/>
          </w:tcPr>
          <w:p>
            <w:pPr>
              <w:numPr>
                <w:ilvl w:val="0"/>
                <w:numId w:val="3"/>
              </w:numPr>
              <w:tabs>
                <w:tab w:val="clear" w:pos="420"/>
              </w:tabs>
              <w:jc w:val="center"/>
              <w:rPr>
                <w:rFonts w:ascii="宋体" w:hAnsi="宋体"/>
                <w:szCs w:val="21"/>
              </w:rPr>
            </w:pPr>
          </w:p>
        </w:tc>
        <w:tc>
          <w:tcPr>
            <w:tcW w:w="2000" w:type="dxa"/>
            <w:noWrap w:val="0"/>
            <w:vAlign w:val="center"/>
          </w:tcPr>
          <w:p>
            <w:pPr>
              <w:jc w:val="left"/>
              <w:rPr>
                <w:rFonts w:ascii="宋体" w:hAnsi="宋体"/>
                <w:color w:val="000000"/>
                <w:szCs w:val="21"/>
              </w:rPr>
            </w:pPr>
            <w:r>
              <w:rPr>
                <w:rFonts w:ascii="宋体" w:hAnsi="宋体"/>
                <w:color w:val="000000"/>
                <w:szCs w:val="21"/>
              </w:rPr>
              <w:t xml:space="preserve">JT/T </w:t>
            </w:r>
            <w:r>
              <w:rPr>
                <w:rFonts w:hint="eastAsia" w:ascii="宋体" w:hAnsi="宋体"/>
                <w:color w:val="000000"/>
                <w:szCs w:val="21"/>
              </w:rPr>
              <w:t>815.2</w:t>
            </w:r>
            <w:r>
              <w:rPr>
                <w:rFonts w:ascii="宋体" w:hAnsi="宋体"/>
                <w:color w:val="000000"/>
                <w:szCs w:val="21"/>
              </w:rPr>
              <w:t>—2019</w:t>
            </w:r>
          </w:p>
        </w:tc>
        <w:tc>
          <w:tcPr>
            <w:tcW w:w="2551" w:type="dxa"/>
            <w:noWrap w:val="0"/>
            <w:vAlign w:val="center"/>
          </w:tcPr>
          <w:p>
            <w:pPr>
              <w:widowControl/>
              <w:jc w:val="left"/>
              <w:rPr>
                <w:rFonts w:hint="eastAsia"/>
              </w:rPr>
            </w:pPr>
            <w:r>
              <w:rPr>
                <w:rFonts w:hint="eastAsia"/>
              </w:rPr>
              <w:t>港口船舶岸基供电系统操作技术规程  第2部分：低压供电</w:t>
            </w:r>
          </w:p>
        </w:tc>
        <w:tc>
          <w:tcPr>
            <w:tcW w:w="5724" w:type="dxa"/>
            <w:noWrap w:val="0"/>
            <w:vAlign w:val="center"/>
          </w:tcPr>
          <w:p>
            <w:pPr>
              <w:pStyle w:val="31"/>
              <w:rPr>
                <w:rFonts w:hint="eastAsia"/>
              </w:rPr>
            </w:pPr>
            <w:r>
              <w:rPr>
                <w:rFonts w:hint="eastAsia"/>
              </w:rPr>
              <w:t>JT/T 815的本部分规定了港口船舶岸基供电系统低压供电操作的基本要求，以及准备、连接、供电、断电和维护等操作技术规程。</w:t>
            </w:r>
            <w:r>
              <w:rPr>
                <w:rFonts w:hint="eastAsia"/>
              </w:rPr>
              <w:br w:type="textWrapping"/>
            </w:r>
            <w:r>
              <w:rPr>
                <w:rFonts w:hint="eastAsia"/>
              </w:rPr>
              <w:t xml:space="preserve">    本部分适用于集装箱、滚</w:t>
            </w:r>
            <w:r>
              <w:rPr>
                <w:rFonts w:hint="eastAsia" w:eastAsia="宋体"/>
              </w:rPr>
              <w:t>装</w:t>
            </w:r>
            <w:r>
              <w:rPr>
                <w:rFonts w:hint="eastAsia"/>
              </w:rPr>
              <w:t>、客运</w:t>
            </w:r>
            <w:r>
              <w:rPr>
                <w:rFonts w:hint="eastAsia" w:eastAsia="宋体"/>
              </w:rPr>
              <w:t>、</w:t>
            </w:r>
            <w:r>
              <w:rPr>
                <w:rFonts w:hint="eastAsia"/>
              </w:rPr>
              <w:t>干散货</w:t>
            </w:r>
            <w:r>
              <w:rPr>
                <w:rFonts w:hint="eastAsia" w:eastAsia="宋体"/>
              </w:rPr>
              <w:t>、件杂货、公务船等</w:t>
            </w:r>
            <w:r>
              <w:rPr>
                <w:rFonts w:hint="eastAsia"/>
              </w:rPr>
              <w:t>专业化泊位采用低压供电形式的船舶岸基供电系统。</w:t>
            </w:r>
          </w:p>
        </w:tc>
        <w:tc>
          <w:tcPr>
            <w:tcW w:w="1500" w:type="dxa"/>
            <w:noWrap w:val="0"/>
            <w:vAlign w:val="center"/>
          </w:tcPr>
          <w:p>
            <w:pPr>
              <w:jc w:val="left"/>
              <w:rPr>
                <w:rFonts w:hint="eastAsia" w:ascii="等线" w:hAnsi="等线" w:eastAsia="等线"/>
                <w:color w:val="000000"/>
                <w:sz w:val="22"/>
              </w:rPr>
            </w:pPr>
            <w:r>
              <w:rPr>
                <w:rFonts w:hint="eastAsia" w:ascii="宋体" w:hAnsi="宋体"/>
                <w:color w:val="000000"/>
                <w:szCs w:val="21"/>
              </w:rPr>
              <w:t>JT/T 815.2-2012</w:t>
            </w:r>
          </w:p>
        </w:tc>
        <w:tc>
          <w:tcPr>
            <w:tcW w:w="1148" w:type="dxa"/>
            <w:noWrap w:val="0"/>
            <w:vAlign w:val="center"/>
          </w:tcPr>
          <w:p>
            <w:pPr>
              <w:rPr>
                <w:rFonts w:hint="eastAsia"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20-</w:t>
            </w:r>
            <w:r>
              <w:rPr>
                <w:rFonts w:ascii="宋体" w:hAnsi="宋体"/>
                <w:color w:val="000000"/>
                <w:szCs w:val="21"/>
              </w:rPr>
              <w:t>0</w:t>
            </w:r>
            <w:r>
              <w:rPr>
                <w:rFonts w:hint="eastAsia" w:ascii="宋体" w:hAnsi="宋体"/>
                <w:color w:val="000000"/>
                <w:szCs w:val="21"/>
              </w:rPr>
              <w:t>3-</w:t>
            </w:r>
            <w:r>
              <w:rPr>
                <w:rFonts w:ascii="宋体" w:hAnsi="宋体"/>
                <w:color w:val="000000"/>
                <w:szCs w:val="21"/>
              </w:rPr>
              <w:t>01</w:t>
            </w:r>
          </w:p>
        </w:tc>
      </w:tr>
    </w:tbl>
    <w:p>
      <w:pPr>
        <w:rPr>
          <w:rFonts w:hint="eastAsia" w:ascii="仿宋_GB2312" w:eastAsia="仿宋_GB2312"/>
          <w:sz w:val="24"/>
          <w:szCs w:val="24"/>
        </w:rPr>
      </w:pPr>
    </w:p>
    <w:sectPr>
      <w:headerReference r:id="rId4" w:type="first"/>
      <w:footerReference r:id="rId6" w:type="first"/>
      <w:headerReference r:id="rId3" w:type="default"/>
      <w:footerReference r:id="rId5" w:type="default"/>
      <w:pgSz w:w="16838" w:h="11906" w:orient="landscape"/>
      <w:pgMar w:top="1701"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仿宋_GB2312" w:hAnsi="Arial" w:eastAsia="仿宋_GB2312" w:cs="Arial"/>
        <w:sz w:val="28"/>
        <w:szCs w:val="28"/>
      </w:rPr>
    </w:pPr>
    <w:r>
      <w:rPr>
        <w:rFonts w:hint="eastAsia" w:ascii="仿宋_GB2312" w:hAnsi="Arial" w:eastAsia="仿宋_GB2312" w:cs="Arial"/>
        <w:sz w:val="28"/>
        <w:szCs w:val="28"/>
      </w:rPr>
      <w:t xml:space="preserve">— </w:t>
    </w:r>
    <w:r>
      <w:rPr>
        <w:rFonts w:hint="eastAsia" w:ascii="仿宋_GB2312" w:hAnsi="Arial" w:eastAsia="仿宋_GB2312" w:cs="Arial"/>
        <w:sz w:val="21"/>
        <w:szCs w:val="21"/>
      </w:rPr>
      <w:fldChar w:fldCharType="begin"/>
    </w:r>
    <w:r>
      <w:rPr>
        <w:rFonts w:hint="eastAsia" w:ascii="仿宋_GB2312" w:hAnsi="Arial" w:eastAsia="仿宋_GB2312" w:cs="Arial"/>
        <w:sz w:val="21"/>
        <w:szCs w:val="21"/>
      </w:rPr>
      <w:instrText xml:space="preserve"> PAGE   \* MERGEFORMAT </w:instrText>
    </w:r>
    <w:r>
      <w:rPr>
        <w:rFonts w:hint="eastAsia" w:ascii="仿宋_GB2312" w:hAnsi="Arial" w:eastAsia="仿宋_GB2312" w:cs="Arial"/>
        <w:sz w:val="21"/>
        <w:szCs w:val="21"/>
      </w:rPr>
      <w:fldChar w:fldCharType="separate"/>
    </w:r>
    <w:r>
      <w:rPr>
        <w:lang/>
      </w:rPr>
      <w:t>4</w:t>
    </w:r>
    <w:r>
      <w:rPr>
        <w:rFonts w:hint="eastAsia" w:ascii="仿宋_GB2312" w:hAnsi="Arial" w:eastAsia="仿宋_GB2312" w:cs="Arial"/>
        <w:sz w:val="21"/>
        <w:szCs w:val="21"/>
      </w:rPr>
      <w:fldChar w:fldCharType="end"/>
    </w:r>
    <w:r>
      <w:rPr>
        <w:rFonts w:hint="eastAsia" w:ascii="仿宋_GB2312" w:hAnsi="Arial" w:eastAsia="仿宋_GB2312" w:cs="Arial"/>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ascii="仿宋_GB2312" w:hAnsi="Arial" w:eastAsia="仿宋_GB2312" w:cs="Arial"/>
        <w:sz w:val="28"/>
        <w:szCs w:val="28"/>
      </w:rPr>
      <w:t xml:space="preserve">— </w:t>
    </w:r>
    <w:r>
      <w:rPr>
        <w:rFonts w:hint="eastAsia" w:ascii="仿宋_GB2312" w:hAnsi="Arial" w:eastAsia="仿宋_GB2312" w:cs="Arial"/>
        <w:sz w:val="28"/>
        <w:szCs w:val="28"/>
      </w:rPr>
      <w:fldChar w:fldCharType="begin"/>
    </w:r>
    <w:r>
      <w:rPr>
        <w:rFonts w:hint="eastAsia" w:ascii="仿宋_GB2312" w:hAnsi="Arial" w:eastAsia="仿宋_GB2312" w:cs="Arial"/>
        <w:sz w:val="28"/>
        <w:szCs w:val="28"/>
      </w:rPr>
      <w:instrText xml:space="preserve"> PAGE   \* MERGEFORMAT </w:instrText>
    </w:r>
    <w:r>
      <w:rPr>
        <w:rFonts w:hint="eastAsia" w:ascii="仿宋_GB2312" w:hAnsi="Arial" w:eastAsia="仿宋_GB2312" w:cs="Arial"/>
        <w:sz w:val="28"/>
        <w:szCs w:val="28"/>
      </w:rPr>
      <w:fldChar w:fldCharType="separate"/>
    </w:r>
    <w:r>
      <w:t>2</w:t>
    </w:r>
    <w:r>
      <w:rPr>
        <w:rFonts w:hint="eastAsia" w:ascii="仿宋_GB2312" w:hAnsi="Arial" w:eastAsia="仿宋_GB2312" w:cs="Arial"/>
        <w:sz w:val="28"/>
        <w:szCs w:val="28"/>
      </w:rPr>
      <w:fldChar w:fldCharType="end"/>
    </w:r>
    <w:r>
      <w:rPr>
        <w:rFonts w:hint="eastAsia" w:ascii="仿宋_GB2312" w:hAnsi="Arial" w:eastAsia="仿宋_GB2312" w:cs="Arial"/>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A8F7113"/>
    <w:multiLevelType w:val="multilevel"/>
    <w:tmpl w:val="2A8F7113"/>
    <w:lvl w:ilvl="0" w:tentative="0">
      <w:start w:val="1"/>
      <w:numFmt w:val="upperLetter"/>
      <w:pStyle w:val="130"/>
      <w:suff w:val="space"/>
      <w:lvlText w:val="%1"/>
      <w:lvlJc w:val="left"/>
      <w:pPr>
        <w:ind w:left="623" w:hanging="425"/>
      </w:pPr>
      <w:rPr>
        <w:rFonts w:hint="eastAsia"/>
      </w:rPr>
    </w:lvl>
    <w:lvl w:ilvl="1" w:tentative="0">
      <w:start w:val="1"/>
      <w:numFmt w:val="decimal"/>
      <w:pStyle w:val="11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44C50F90"/>
    <w:multiLevelType w:val="multilevel"/>
    <w:tmpl w:val="44C50F90"/>
    <w:lvl w:ilvl="0" w:tentative="0">
      <w:start w:val="1"/>
      <w:numFmt w:val="lowerLetter"/>
      <w:pStyle w:val="12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12"/>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0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15"/>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91BBB"/>
    <w:rsid w:val="00A070A6"/>
    <w:rsid w:val="00AC762C"/>
    <w:rsid w:val="4CF47C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nhideWhenUsed="0" w:uiPriority="0" w:semiHidden="0" w:name="heading 9"/>
    <w:lsdException w:uiPriority="99" w:semiHidden="0" w:name="index 1"/>
    <w:lsdException w:uiPriority="99" w:name="index 2"/>
    <w:lsdException w:uiPriority="99" w:name="index 3"/>
    <w:lsdException w:uiPriority="99" w:name="index 4"/>
    <w:lsdException w:uiPriority="99" w:name="index 5"/>
    <w:lsdException w:unhideWhenUsed="0" w:uiPriority="0" w:semiHidden="0" w:name="index 6"/>
    <w:lsdException w:uiPriority="99" w:name="index 7"/>
    <w:lsdException w:uiPriority="99" w:name="index 8"/>
    <w:lsdException w:uiPriority="99" w:name="index 9"/>
    <w:lsdException w:uiPriority="39" w:name="toc 1"/>
    <w:lsdException w:uiPriority="39" w:name="toc 2"/>
    <w:lsdException w:unhideWhenUsed="0" w:uiPriority="0"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semiHidden="0" w:name="Plain Text"/>
    <w:lsdException w:uiPriority="99" w:name="E-mail Signature"/>
    <w:lsdException w:uiPriority="99" w:name="Normal (Web)"/>
    <w:lsdException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6"/>
    <w:basedOn w:val="1"/>
    <w:next w:val="1"/>
    <w:link w:val="42"/>
    <w:qFormat/>
    <w:uiPriority w:val="0"/>
    <w:pPr>
      <w:keepNext/>
      <w:keepLines/>
      <w:spacing w:before="240" w:beforeLines="0" w:after="64" w:afterLines="0" w:line="320" w:lineRule="auto"/>
      <w:outlineLvl w:val="5"/>
    </w:pPr>
    <w:rPr>
      <w:rFonts w:ascii="Cambria" w:hAnsi="Cambria"/>
      <w:b/>
      <w:bCs/>
      <w:sz w:val="24"/>
      <w:szCs w:val="24"/>
    </w:rPr>
  </w:style>
  <w:style w:type="paragraph" w:styleId="3">
    <w:name w:val="heading 9"/>
    <w:basedOn w:val="1"/>
    <w:next w:val="1"/>
    <w:link w:val="51"/>
    <w:qFormat/>
    <w:uiPriority w:val="0"/>
    <w:pPr>
      <w:keepNext/>
      <w:keepLines/>
      <w:spacing w:before="240" w:beforeLines="0" w:after="64" w:afterLines="0" w:line="320" w:lineRule="auto"/>
      <w:outlineLvl w:val="8"/>
    </w:pPr>
    <w:rPr>
      <w:rFonts w:ascii="Arial" w:hAnsi="Arial" w:eastAsia="黑体"/>
      <w:szCs w:val="21"/>
    </w:rPr>
  </w:style>
  <w:style w:type="character" w:default="1" w:styleId="18">
    <w:name w:val="Default Paragraph Font"/>
    <w:uiPriority w:val="0"/>
  </w:style>
  <w:style w:type="table" w:default="1" w:styleId="17">
    <w:name w:val="Normal Table"/>
    <w:semiHidden/>
    <w:unhideWhenUsed/>
    <w:uiPriority w:val="99"/>
    <w:tblPr>
      <w:tblStyle w:val="17"/>
      <w:tblCellMar>
        <w:top w:w="0" w:type="dxa"/>
        <w:left w:w="108" w:type="dxa"/>
        <w:bottom w:w="0" w:type="dxa"/>
        <w:right w:w="108" w:type="dxa"/>
      </w:tblCellMar>
    </w:tblPr>
    <w:trPr>
      <w:wBefore w:w="0" w:type="dxa"/>
    </w:trPr>
  </w:style>
  <w:style w:type="paragraph" w:styleId="4">
    <w:name w:val="annotation text"/>
    <w:basedOn w:val="1"/>
    <w:link w:val="53"/>
    <w:uiPriority w:val="0"/>
    <w:pPr>
      <w:jc w:val="left"/>
    </w:pPr>
  </w:style>
  <w:style w:type="paragraph" w:styleId="5">
    <w:name w:val="index 6"/>
    <w:basedOn w:val="1"/>
    <w:next w:val="1"/>
    <w:uiPriority w:val="0"/>
    <w:pPr>
      <w:ind w:left="1260" w:hanging="210"/>
      <w:jc w:val="left"/>
    </w:pPr>
    <w:rPr>
      <w:sz w:val="20"/>
      <w:szCs w:val="20"/>
    </w:rPr>
  </w:style>
  <w:style w:type="paragraph" w:styleId="6">
    <w:name w:val="Body Text"/>
    <w:basedOn w:val="1"/>
    <w:link w:val="41"/>
    <w:unhideWhenUsed/>
    <w:uiPriority w:val="0"/>
    <w:pPr>
      <w:spacing w:after="120" w:afterLines="0"/>
    </w:pPr>
  </w:style>
  <w:style w:type="paragraph" w:styleId="7">
    <w:name w:val="Body Text Indent"/>
    <w:basedOn w:val="1"/>
    <w:link w:val="45"/>
    <w:uiPriority w:val="0"/>
    <w:pPr>
      <w:ind w:left="550" w:firstLine="200" w:firstLineChars="200"/>
    </w:pPr>
  </w:style>
  <w:style w:type="paragraph" w:styleId="8">
    <w:name w:val="toc 3"/>
    <w:basedOn w:val="1"/>
    <w:next w:val="1"/>
    <w:uiPriority w:val="0"/>
    <w:pPr>
      <w:ind w:left="210"/>
      <w:jc w:val="left"/>
    </w:pPr>
    <w:rPr>
      <w:sz w:val="20"/>
      <w:szCs w:val="20"/>
    </w:rPr>
  </w:style>
  <w:style w:type="paragraph" w:styleId="9">
    <w:name w:val="Plain Text"/>
    <w:basedOn w:val="1"/>
    <w:link w:val="33"/>
    <w:unhideWhenUsed/>
    <w:uiPriority w:val="99"/>
    <w:rPr>
      <w:rFonts w:ascii="宋体" w:hAnsi="Courier New"/>
      <w:szCs w:val="21"/>
    </w:rPr>
  </w:style>
  <w:style w:type="paragraph" w:styleId="10">
    <w:name w:val="Balloon Text"/>
    <w:basedOn w:val="1"/>
    <w:link w:val="68"/>
    <w:uiPriority w:val="0"/>
    <w:rPr>
      <w:sz w:val="18"/>
      <w:szCs w:val="18"/>
    </w:rPr>
  </w:style>
  <w:style w:type="paragraph" w:styleId="11">
    <w:name w:val="footer"/>
    <w:basedOn w:val="1"/>
    <w:link w:val="77"/>
    <w:uiPriority w:val="0"/>
    <w:pPr>
      <w:tabs>
        <w:tab w:val="center" w:pos="4153"/>
        <w:tab w:val="right" w:pos="8306"/>
      </w:tabs>
      <w:snapToGrid w:val="0"/>
      <w:jc w:val="left"/>
    </w:pPr>
    <w:rPr>
      <w:sz w:val="18"/>
      <w:szCs w:val="18"/>
    </w:rPr>
  </w:style>
  <w:style w:type="paragraph" w:styleId="12">
    <w:name w:val="header"/>
    <w:basedOn w:val="1"/>
    <w:link w:val="55"/>
    <w:uiPriority w:val="0"/>
    <w:pPr>
      <w:pBdr>
        <w:bottom w:val="single" w:color="auto" w:sz="6" w:space="1"/>
      </w:pBdr>
      <w:tabs>
        <w:tab w:val="center" w:pos="4153"/>
        <w:tab w:val="right" w:pos="8306"/>
      </w:tabs>
      <w:snapToGrid w:val="0"/>
      <w:jc w:val="center"/>
    </w:pPr>
    <w:rPr>
      <w:sz w:val="18"/>
      <w:szCs w:val="18"/>
    </w:rPr>
  </w:style>
  <w:style w:type="paragraph" w:styleId="13">
    <w:name w:val="toc 4"/>
    <w:basedOn w:val="1"/>
    <w:next w:val="1"/>
    <w:unhideWhenUsed/>
    <w:uiPriority w:val="39"/>
    <w:pPr>
      <w:ind w:left="1260" w:leftChars="600"/>
    </w:pPr>
  </w:style>
  <w:style w:type="paragraph" w:styleId="14">
    <w:name w:val="footnote text"/>
    <w:basedOn w:val="1"/>
    <w:link w:val="75"/>
    <w:uiPriority w:val="0"/>
    <w:pPr>
      <w:snapToGrid w:val="0"/>
      <w:jc w:val="left"/>
    </w:pPr>
    <w:rPr>
      <w:sz w:val="18"/>
      <w:szCs w:val="18"/>
    </w:rPr>
  </w:style>
  <w:style w:type="paragraph" w:styleId="15">
    <w:name w:val="index 1"/>
    <w:basedOn w:val="1"/>
    <w:next w:val="1"/>
    <w:unhideWhenUsed/>
    <w:uiPriority w:val="99"/>
  </w:style>
  <w:style w:type="paragraph" w:styleId="16">
    <w:name w:val="annotation subject"/>
    <w:basedOn w:val="4"/>
    <w:next w:val="4"/>
    <w:uiPriority w:val="0"/>
    <w:rPr>
      <w:rFonts w:ascii="Calibri" w:hAnsi="Calibri" w:eastAsia="宋体"/>
      <w:b/>
      <w:bCs/>
      <w:kern w:val="2"/>
      <w:sz w:val="21"/>
      <w:szCs w:val="22"/>
      <w:lang w:val="en-US" w:eastAsia="zh-CN"/>
    </w:rPr>
  </w:style>
  <w:style w:type="character" w:styleId="19">
    <w:name w:val="Strong"/>
    <w:qFormat/>
    <w:uiPriority w:val="0"/>
    <w:rPr>
      <w:b/>
      <w:bCs/>
    </w:rPr>
  </w:style>
  <w:style w:type="character" w:styleId="20">
    <w:name w:val="Emphasis"/>
    <w:qFormat/>
    <w:uiPriority w:val="0"/>
    <w:rPr>
      <w:i/>
      <w:iCs/>
    </w:rPr>
  </w:style>
  <w:style w:type="character" w:styleId="21">
    <w:name w:val="HTML Acronym"/>
    <w:basedOn w:val="18"/>
    <w:uiPriority w:val="0"/>
  </w:style>
  <w:style w:type="character" w:styleId="22">
    <w:name w:val="Hyperlink"/>
    <w:uiPriority w:val="0"/>
    <w:rPr>
      <w:color w:val="0000FF"/>
      <w:u w:val="single"/>
    </w:rPr>
  </w:style>
  <w:style w:type="character" w:styleId="23">
    <w:name w:val="annotation reference"/>
    <w:uiPriority w:val="0"/>
    <w:rPr>
      <w:sz w:val="21"/>
      <w:szCs w:val="21"/>
    </w:rPr>
  </w:style>
  <w:style w:type="character" w:customStyle="1" w:styleId="24">
    <w:name w:val="日期 Char"/>
    <w:link w:val="25"/>
    <w:uiPriority w:val="0"/>
    <w:rPr>
      <w:kern w:val="2"/>
      <w:sz w:val="24"/>
    </w:rPr>
  </w:style>
  <w:style w:type="paragraph" w:customStyle="1" w:styleId="25">
    <w:name w:val="日期1"/>
    <w:basedOn w:val="1"/>
    <w:next w:val="1"/>
    <w:link w:val="24"/>
    <w:uiPriority w:val="0"/>
    <w:rPr>
      <w:rFonts w:ascii="Times New Roman" w:hAnsi="Times New Roman"/>
      <w:sz w:val="24"/>
      <w:szCs w:val="20"/>
    </w:rPr>
  </w:style>
  <w:style w:type="character" w:customStyle="1" w:styleId="26">
    <w:name w:val="HTML Keyboard"/>
    <w:uiPriority w:val="0"/>
    <w:rPr>
      <w:rFonts w:ascii="Courier New" w:hAnsi="Courier New" w:cs="Times New Roman"/>
      <w:sz w:val="20"/>
    </w:rPr>
  </w:style>
  <w:style w:type="character" w:customStyle="1" w:styleId="27">
    <w:name w:val="正文文本缩进 3 Char"/>
    <w:link w:val="28"/>
    <w:uiPriority w:val="0"/>
    <w:rPr>
      <w:rFonts w:ascii="Calibri" w:hAnsi="Calibri"/>
      <w:kern w:val="2"/>
      <w:sz w:val="16"/>
      <w:szCs w:val="16"/>
    </w:rPr>
  </w:style>
  <w:style w:type="paragraph" w:customStyle="1" w:styleId="28">
    <w:name w:val="正文文本缩进 31"/>
    <w:basedOn w:val="1"/>
    <w:link w:val="27"/>
    <w:uiPriority w:val="0"/>
    <w:pPr>
      <w:spacing w:after="120" w:afterLines="0"/>
      <w:ind w:left="420" w:leftChars="200"/>
    </w:pPr>
    <w:rPr>
      <w:sz w:val="16"/>
      <w:szCs w:val="16"/>
    </w:rPr>
  </w:style>
  <w:style w:type="character" w:customStyle="1" w:styleId="29">
    <w:name w:val="首示例 Char Char"/>
    <w:link w:val="30"/>
    <w:qFormat/>
    <w:uiPriority w:val="0"/>
    <w:rPr>
      <w:rFonts w:ascii="宋体" w:hAnsi="宋体"/>
      <w:kern w:val="2"/>
      <w:sz w:val="18"/>
      <w:szCs w:val="18"/>
      <w:lang w:val="en-US" w:eastAsia="zh-CN" w:bidi="ar-SA"/>
    </w:rPr>
  </w:style>
  <w:style w:type="paragraph" w:customStyle="1" w:styleId="30">
    <w:name w:val="首示例"/>
    <w:next w:val="31"/>
    <w:link w:val="29"/>
    <w:qFormat/>
    <w:uiPriority w:val="0"/>
    <w:pPr>
      <w:tabs>
        <w:tab w:val="left" w:pos="360"/>
      </w:tabs>
    </w:pPr>
    <w:rPr>
      <w:rFonts w:ascii="宋体" w:hAnsi="宋体"/>
      <w:kern w:val="2"/>
      <w:sz w:val="18"/>
      <w:szCs w:val="18"/>
      <w:lang w:val="en-US" w:eastAsia="zh-CN" w:bidi="ar-SA"/>
    </w:rPr>
  </w:style>
  <w:style w:type="paragraph" w:customStyle="1" w:styleId="31">
    <w:name w:val="段"/>
    <w:link w:val="60"/>
    <w:qFormat/>
    <w:uiPriority w:val="0"/>
    <w:pPr>
      <w:tabs>
        <w:tab w:val="center" w:pos="4201"/>
        <w:tab w:val="right" w:leader="dot" w:pos="9298"/>
      </w:tabs>
      <w:autoSpaceDE w:val="0"/>
      <w:autoSpaceDN w:val="0"/>
      <w:ind w:firstLine="420" w:firstLineChars="200"/>
      <w:jc w:val="both"/>
    </w:pPr>
    <w:rPr>
      <w:rFonts w:ascii="宋体" w:hAnsi="宋体" w:eastAsia="Times New Roman"/>
      <w:sz w:val="21"/>
      <w:lang w:val="en-US" w:eastAsia="zh-CN" w:bidi="ar-SA"/>
    </w:rPr>
  </w:style>
  <w:style w:type="character" w:customStyle="1" w:styleId="32">
    <w:name w:val="Legal Level 1.1.1. Char"/>
    <w:aliases w:val="Legal Level 1.1.1.1 Char,Legal Level 1.1.1.2 Char,Legal Level 1.1.1.3 Char,Legal Level 1.1.1.4 Char,Legal Level 1.1.1.5 Char,Legal Level 1.1.1.6 Char,Legal Level 1.1.1.7 Char,Legal Level 1.1.1.11 Char,Legal Level 1.1.1.21 Char"/>
    <w:uiPriority w:val="0"/>
    <w:rPr>
      <w:rFonts w:ascii="Arial" w:hAnsi="Arial" w:eastAsia="黑体"/>
      <w:kern w:val="2"/>
      <w:sz w:val="24"/>
      <w:lang w:bidi="ar-SA"/>
    </w:rPr>
  </w:style>
  <w:style w:type="character" w:customStyle="1" w:styleId="33">
    <w:name w:val="纯文本 Char"/>
    <w:link w:val="9"/>
    <w:uiPriority w:val="99"/>
    <w:rPr>
      <w:rFonts w:ascii="宋体" w:hAnsi="Courier New" w:cs="Courier New"/>
      <w:kern w:val="2"/>
      <w:sz w:val="21"/>
      <w:szCs w:val="21"/>
    </w:rPr>
  </w:style>
  <w:style w:type="character" w:customStyle="1" w:styleId="34">
    <w:name w:val="批注文字 字符"/>
    <w:uiPriority w:val="0"/>
    <w:rPr>
      <w:kern w:val="2"/>
      <w:sz w:val="21"/>
      <w:szCs w:val="24"/>
    </w:rPr>
  </w:style>
  <w:style w:type="character" w:customStyle="1" w:styleId="35">
    <w:name w:val="标准正文 Char Char"/>
    <w:link w:val="36"/>
    <w:uiPriority w:val="0"/>
    <w:rPr>
      <w:rFonts w:hAnsi="宋体" w:eastAsia="宋体"/>
      <w:bCs/>
      <w:sz w:val="21"/>
      <w:szCs w:val="21"/>
    </w:rPr>
  </w:style>
  <w:style w:type="paragraph" w:customStyle="1" w:styleId="36">
    <w:name w:val="标准正文"/>
    <w:basedOn w:val="1"/>
    <w:link w:val="35"/>
    <w:uiPriority w:val="0"/>
    <w:pPr>
      <w:keepNext/>
      <w:widowControl/>
      <w:spacing w:line="288" w:lineRule="auto"/>
      <w:ind w:firstLine="420" w:firstLineChars="200"/>
      <w:jc w:val="left"/>
    </w:pPr>
    <w:rPr>
      <w:rFonts w:ascii="Times New Roman" w:hAnsi="宋体"/>
      <w:bCs/>
      <w:kern w:val="0"/>
      <w:szCs w:val="21"/>
    </w:rPr>
  </w:style>
  <w:style w:type="character" w:customStyle="1" w:styleId="37">
    <w:name w:val="二级条标题 Char Char"/>
    <w:link w:val="38"/>
    <w:uiPriority w:val="0"/>
    <w:rPr>
      <w:rFonts w:ascii="黑体" w:eastAsia="黑体"/>
      <w:sz w:val="21"/>
      <w:szCs w:val="21"/>
    </w:rPr>
  </w:style>
  <w:style w:type="paragraph" w:customStyle="1" w:styleId="38">
    <w:name w:val="二级条标题"/>
    <w:basedOn w:val="39"/>
    <w:next w:val="31"/>
    <w:link w:val="37"/>
    <w:uiPriority w:val="0"/>
    <w:pPr>
      <w:ind w:left="0"/>
      <w:jc w:val="left"/>
      <w:outlineLvl w:val="3"/>
    </w:pPr>
    <w:rPr>
      <w:szCs w:val="21"/>
    </w:rPr>
  </w:style>
  <w:style w:type="paragraph" w:customStyle="1" w:styleId="39">
    <w:name w:val="一级条标题"/>
    <w:basedOn w:val="40"/>
    <w:next w:val="31"/>
    <w:uiPriority w:val="0"/>
    <w:pPr>
      <w:ind w:left="1260"/>
      <w:outlineLvl w:val="2"/>
    </w:pPr>
  </w:style>
  <w:style w:type="paragraph" w:customStyle="1" w:styleId="40">
    <w:name w:val="章标题"/>
    <w:next w:val="31"/>
    <w:link w:val="78"/>
    <w:qFormat/>
    <w:uiPriority w:val="99"/>
    <w:pPr>
      <w:spacing w:before="156" w:beforeLines="50" w:after="156" w:afterLines="50"/>
      <w:ind w:left="360"/>
      <w:jc w:val="both"/>
      <w:outlineLvl w:val="1"/>
    </w:pPr>
    <w:rPr>
      <w:rFonts w:ascii="黑体" w:eastAsia="黑体"/>
      <w:sz w:val="21"/>
      <w:lang w:val="en-US" w:eastAsia="zh-CN" w:bidi="ar-SA"/>
    </w:rPr>
  </w:style>
  <w:style w:type="character" w:customStyle="1" w:styleId="41">
    <w:name w:val="正文文本 Char"/>
    <w:link w:val="6"/>
    <w:uiPriority w:val="0"/>
    <w:rPr>
      <w:rFonts w:ascii="Calibri" w:hAnsi="Calibri"/>
      <w:kern w:val="2"/>
      <w:sz w:val="21"/>
      <w:szCs w:val="22"/>
    </w:rPr>
  </w:style>
  <w:style w:type="character" w:customStyle="1" w:styleId="42">
    <w:name w:val="标题 6 Char"/>
    <w:link w:val="2"/>
    <w:uiPriority w:val="0"/>
    <w:rPr>
      <w:rFonts w:ascii="Cambria" w:hAnsi="Cambria" w:eastAsia="宋体" w:cs="Times New Roman"/>
      <w:b/>
      <w:bCs/>
      <w:kern w:val="2"/>
      <w:sz w:val="24"/>
      <w:szCs w:val="24"/>
    </w:rPr>
  </w:style>
  <w:style w:type="character" w:customStyle="1" w:styleId="43">
    <w:name w:val="段 Char Char Char"/>
    <w:uiPriority w:val="0"/>
    <w:rPr>
      <w:rFonts w:ascii="宋体"/>
      <w:sz w:val="21"/>
      <w:lang w:val="en-US" w:eastAsia="zh-CN"/>
    </w:rPr>
  </w:style>
  <w:style w:type="character" w:customStyle="1" w:styleId="44">
    <w:name w:val="Char Char2"/>
    <w:uiPriority w:val="0"/>
    <w:rPr>
      <w:rFonts w:ascii="宋体" w:hAnsi="Courier New"/>
      <w:kern w:val="2"/>
      <w:sz w:val="21"/>
    </w:rPr>
  </w:style>
  <w:style w:type="character" w:customStyle="1" w:styleId="45">
    <w:name w:val="正文文本缩进 Char"/>
    <w:link w:val="7"/>
    <w:uiPriority w:val="0"/>
    <w:rPr>
      <w:rFonts w:ascii="Calibri" w:hAnsi="Calibri"/>
      <w:kern w:val="2"/>
      <w:sz w:val="21"/>
      <w:szCs w:val="22"/>
    </w:rPr>
  </w:style>
  <w:style w:type="character" w:customStyle="1" w:styleId="46">
    <w:name w:val="附录公式 Char Char"/>
    <w:link w:val="47"/>
    <w:uiPriority w:val="0"/>
    <w:rPr>
      <w:rFonts w:ascii="宋体"/>
      <w:sz w:val="21"/>
      <w:lang w:val="en-US" w:eastAsia="zh-CN"/>
    </w:rPr>
  </w:style>
  <w:style w:type="paragraph" w:customStyle="1" w:styleId="47">
    <w:name w:val="附录公式"/>
    <w:basedOn w:val="31"/>
    <w:next w:val="31"/>
    <w:link w:val="46"/>
    <w:uiPriority w:val="0"/>
    <w:rPr>
      <w:rFonts w:hAnsi="Times New Roman" w:eastAsia="宋体"/>
    </w:rPr>
  </w:style>
  <w:style w:type="character" w:customStyle="1" w:styleId="48">
    <w:name w:val="style23"/>
    <w:basedOn w:val="18"/>
    <w:uiPriority w:val="0"/>
  </w:style>
  <w:style w:type="character" w:customStyle="1" w:styleId="49">
    <w:name w:val="纯文本 Char Char"/>
    <w:link w:val="50"/>
    <w:uiPriority w:val="0"/>
    <w:rPr>
      <w:rFonts w:ascii="宋体" w:hAnsi="Courier New" w:eastAsia="宋体" w:cs="Courier New"/>
      <w:kern w:val="2"/>
      <w:sz w:val="21"/>
      <w:szCs w:val="21"/>
      <w:lang w:val="en-US" w:eastAsia="zh-CN"/>
    </w:rPr>
  </w:style>
  <w:style w:type="paragraph" w:customStyle="1" w:styleId="50">
    <w:name w:val="纯文本1"/>
    <w:basedOn w:val="1"/>
    <w:link w:val="49"/>
    <w:uiPriority w:val="0"/>
    <w:rPr>
      <w:rFonts w:ascii="宋体" w:hAnsi="Courier New"/>
      <w:szCs w:val="21"/>
    </w:rPr>
  </w:style>
  <w:style w:type="character" w:customStyle="1" w:styleId="51">
    <w:name w:val="标题 9 Char"/>
    <w:link w:val="3"/>
    <w:uiPriority w:val="0"/>
    <w:rPr>
      <w:rFonts w:ascii="Arial" w:hAnsi="Arial" w:eastAsia="黑体"/>
      <w:kern w:val="2"/>
      <w:sz w:val="21"/>
      <w:szCs w:val="21"/>
    </w:rPr>
  </w:style>
  <w:style w:type="character" w:customStyle="1" w:styleId="52">
    <w:name w:val="段 Char Char Char Char Char Char"/>
    <w:uiPriority w:val="0"/>
    <w:rPr>
      <w:rFonts w:ascii="宋体"/>
      <w:sz w:val="21"/>
      <w:lang w:val="en-US" w:eastAsia="zh-CN"/>
    </w:rPr>
  </w:style>
  <w:style w:type="character" w:customStyle="1" w:styleId="53">
    <w:name w:val="批注文字 Char"/>
    <w:link w:val="4"/>
    <w:uiPriority w:val="0"/>
    <w:rPr>
      <w:rFonts w:ascii="Calibri" w:hAnsi="Calibri" w:eastAsia="宋体"/>
      <w:kern w:val="2"/>
      <w:sz w:val="21"/>
      <w:szCs w:val="22"/>
      <w:lang w:val="en-US" w:eastAsia="zh-CN"/>
    </w:rPr>
  </w:style>
  <w:style w:type="character" w:customStyle="1" w:styleId="54">
    <w:name w:val="段 Char Char Char Char Char Char Char Char"/>
    <w:uiPriority w:val="0"/>
    <w:rPr>
      <w:rFonts w:ascii="宋体"/>
      <w:sz w:val="21"/>
      <w:lang w:val="en-US" w:eastAsia="zh-CN" w:bidi="ar-SA"/>
    </w:rPr>
  </w:style>
  <w:style w:type="character" w:customStyle="1" w:styleId="55">
    <w:name w:val="页眉 Char"/>
    <w:link w:val="12"/>
    <w:uiPriority w:val="0"/>
    <w:rPr>
      <w:rFonts w:ascii="Calibri" w:hAnsi="Calibri"/>
      <w:kern w:val="2"/>
      <w:sz w:val="18"/>
      <w:szCs w:val="18"/>
    </w:rPr>
  </w:style>
  <w:style w:type="character" w:customStyle="1" w:styleId="56">
    <w:name w:val="段 Char Char Char Char Char"/>
    <w:uiPriority w:val="0"/>
    <w:rPr>
      <w:rFonts w:ascii="宋体"/>
      <w:sz w:val="21"/>
      <w:lang w:val="en-US" w:eastAsia="zh-CN"/>
    </w:rPr>
  </w:style>
  <w:style w:type="character" w:customStyle="1" w:styleId="57">
    <w:name w:val="纯文本 字符"/>
    <w:uiPriority w:val="0"/>
    <w:rPr>
      <w:rFonts w:ascii="宋体" w:hAnsi="Courier New" w:eastAsia="宋体" w:cs="Times New Roman"/>
      <w:szCs w:val="20"/>
    </w:rPr>
  </w:style>
  <w:style w:type="character" w:customStyle="1" w:styleId="58">
    <w:name w:val="Char Char23"/>
    <w:uiPriority w:val="0"/>
    <w:rPr>
      <w:kern w:val="2"/>
      <w:sz w:val="24"/>
      <w:shd w:val="clear" w:color="auto" w:fill="000080"/>
    </w:rPr>
  </w:style>
  <w:style w:type="character" w:customStyle="1" w:styleId="59">
    <w:name w:val="段 Char Char Char Char Char Char Char"/>
    <w:uiPriority w:val="0"/>
    <w:rPr>
      <w:rFonts w:ascii="宋体"/>
      <w:sz w:val="21"/>
      <w:lang w:val="en-US" w:eastAsia="zh-CN" w:bidi="ar-SA"/>
    </w:rPr>
  </w:style>
  <w:style w:type="character" w:customStyle="1" w:styleId="60">
    <w:name w:val="段 Char Char"/>
    <w:link w:val="31"/>
    <w:uiPriority w:val="0"/>
    <w:rPr>
      <w:rFonts w:ascii="宋体" w:hAnsi="宋体" w:eastAsia="Times New Roman"/>
      <w:sz w:val="21"/>
      <w:lang w:val="en-US" w:eastAsia="zh-CN" w:bidi="ar-SA"/>
    </w:rPr>
  </w:style>
  <w:style w:type="character" w:customStyle="1" w:styleId="61">
    <w:name w:val="章标题 Char Char Char"/>
    <w:qFormat/>
    <w:locked/>
    <w:uiPriority w:val="99"/>
    <w:rPr>
      <w:rFonts w:ascii="黑体" w:eastAsia="黑体"/>
      <w:sz w:val="22"/>
      <w:szCs w:val="22"/>
      <w:lang w:val="en-US" w:eastAsia="zh-CN" w:bidi="ar-SA"/>
    </w:rPr>
  </w:style>
  <w:style w:type="character" w:customStyle="1" w:styleId="62">
    <w:name w:val="正文文本缩进 Char Char"/>
    <w:link w:val="63"/>
    <w:uiPriority w:val="0"/>
    <w:rPr>
      <w:kern w:val="2"/>
      <w:sz w:val="21"/>
    </w:rPr>
  </w:style>
  <w:style w:type="paragraph" w:customStyle="1" w:styleId="63">
    <w:name w:val="Body Text Indent"/>
    <w:basedOn w:val="1"/>
    <w:link w:val="62"/>
    <w:uiPriority w:val="0"/>
    <w:pPr>
      <w:spacing w:after="120" w:afterLines="0"/>
      <w:ind w:left="420" w:leftChars="200"/>
    </w:pPr>
    <w:rPr>
      <w:rFonts w:ascii="Times New Roman" w:hAnsi="Times New Roman"/>
      <w:szCs w:val="20"/>
    </w:rPr>
  </w:style>
  <w:style w:type="character" w:customStyle="1" w:styleId="64">
    <w:name w:val="发布"/>
    <w:uiPriority w:val="0"/>
    <w:rPr>
      <w:rFonts w:ascii="黑体" w:eastAsia="黑体"/>
      <w:spacing w:val="85"/>
      <w:w w:val="100"/>
      <w:position w:val="3"/>
      <w:sz w:val="28"/>
      <w:szCs w:val="28"/>
    </w:rPr>
  </w:style>
  <w:style w:type="character" w:customStyle="1" w:styleId="65">
    <w:name w:val="批注引用1"/>
    <w:uiPriority w:val="0"/>
    <w:rPr>
      <w:sz w:val="21"/>
      <w:szCs w:val="21"/>
    </w:rPr>
  </w:style>
  <w:style w:type="character" w:customStyle="1" w:styleId="66">
    <w:name w:val="工可正文 Char Char"/>
    <w:link w:val="67"/>
    <w:qFormat/>
    <w:uiPriority w:val="0"/>
    <w:rPr>
      <w:sz w:val="28"/>
    </w:rPr>
  </w:style>
  <w:style w:type="paragraph" w:customStyle="1" w:styleId="67">
    <w:name w:val="工可正文"/>
    <w:basedOn w:val="9"/>
    <w:link w:val="66"/>
    <w:qFormat/>
    <w:uiPriority w:val="0"/>
    <w:pPr>
      <w:widowControl/>
      <w:tabs>
        <w:tab w:val="center" w:pos="4201"/>
        <w:tab w:val="right" w:leader="dot" w:pos="9298"/>
      </w:tabs>
      <w:autoSpaceDE w:val="0"/>
      <w:autoSpaceDN w:val="0"/>
      <w:spacing w:line="400" w:lineRule="exact"/>
      <w:ind w:firstLine="560" w:firstLineChars="200"/>
    </w:pPr>
    <w:rPr>
      <w:rFonts w:ascii="Times New Roman" w:hAnsi="Times New Roman"/>
      <w:kern w:val="0"/>
      <w:sz w:val="28"/>
      <w:szCs w:val="20"/>
    </w:rPr>
  </w:style>
  <w:style w:type="character" w:customStyle="1" w:styleId="68">
    <w:name w:val="批注框文本 Char"/>
    <w:link w:val="10"/>
    <w:uiPriority w:val="0"/>
    <w:rPr>
      <w:rFonts w:ascii="Calibri" w:hAnsi="Calibri"/>
      <w:kern w:val="2"/>
      <w:sz w:val="18"/>
      <w:szCs w:val="18"/>
    </w:rPr>
  </w:style>
  <w:style w:type="character" w:customStyle="1" w:styleId="69">
    <w:name w:val="H3 Char"/>
    <w:aliases w:val="l3 Char,CT Char,BOD 0 Char,h3 Char,sect1.2.3 Char,3rd level Char,Heading 3 - old Char,heading 3 + Indent: Left 0.25 in Char,Bold Head Char,bh Char,标题 1.1.1 Char,1.1.1.标题 3 Char,3 Char,1.1.1 Char,heading 3 Char,h31 Char,heading 31 Char,h32 Char"/>
    <w:uiPriority w:val="0"/>
    <w:rPr>
      <w:rFonts w:ascii="Arial" w:hAnsi="Arial" w:eastAsia="宋体"/>
      <w:b/>
      <w:kern w:val="2"/>
      <w:sz w:val="28"/>
      <w:lang w:bidi="ar-SA"/>
    </w:rPr>
  </w:style>
  <w:style w:type="character" w:customStyle="1" w:styleId="70">
    <w:name w:val="段 Char Char Char Char Char Char Char Char Char Char Char"/>
    <w:uiPriority w:val="0"/>
    <w:rPr>
      <w:rFonts w:ascii="宋体"/>
      <w:sz w:val="21"/>
      <w:lang w:val="en-US" w:eastAsia="zh-CN" w:bidi="ar-SA"/>
    </w:rPr>
  </w:style>
  <w:style w:type="character" w:customStyle="1" w:styleId="71">
    <w:name w:val="topic"/>
    <w:basedOn w:val="18"/>
    <w:uiPriority w:val="0"/>
  </w:style>
  <w:style w:type="character" w:customStyle="1" w:styleId="72">
    <w:name w:val="HTML 引文1"/>
    <w:uiPriority w:val="0"/>
    <w:rPr>
      <w:i/>
      <w:iCs/>
    </w:rPr>
  </w:style>
  <w:style w:type="character" w:customStyle="1" w:styleId="73">
    <w:name w:val="段 Char Char Char Char"/>
    <w:uiPriority w:val="0"/>
    <w:rPr>
      <w:rFonts w:ascii="宋体"/>
      <w:sz w:val="21"/>
      <w:lang w:val="en-US" w:eastAsia="zh-CN"/>
    </w:rPr>
  </w:style>
  <w:style w:type="character" w:customStyle="1" w:styleId="74">
    <w:name w:val="bds_nopic1"/>
    <w:basedOn w:val="18"/>
    <w:uiPriority w:val="0"/>
  </w:style>
  <w:style w:type="character" w:customStyle="1" w:styleId="75">
    <w:name w:val="脚注文本 Char"/>
    <w:link w:val="14"/>
    <w:uiPriority w:val="0"/>
    <w:rPr>
      <w:rFonts w:ascii="Calibri" w:hAnsi="Calibri"/>
      <w:kern w:val="2"/>
      <w:sz w:val="18"/>
      <w:szCs w:val="18"/>
    </w:rPr>
  </w:style>
  <w:style w:type="character" w:customStyle="1" w:styleId="76">
    <w:name w:val="段 Char Char Char Char Char Char Char Char Char"/>
    <w:qFormat/>
    <w:uiPriority w:val="0"/>
    <w:rPr>
      <w:rFonts w:ascii="宋体"/>
      <w:sz w:val="21"/>
    </w:rPr>
  </w:style>
  <w:style w:type="character" w:customStyle="1" w:styleId="77">
    <w:name w:val="页脚 Char"/>
    <w:link w:val="11"/>
    <w:uiPriority w:val="0"/>
    <w:rPr>
      <w:rFonts w:ascii="Calibri" w:hAnsi="Calibri"/>
      <w:kern w:val="2"/>
      <w:sz w:val="18"/>
      <w:szCs w:val="18"/>
    </w:rPr>
  </w:style>
  <w:style w:type="character" w:customStyle="1" w:styleId="78">
    <w:name w:val="章标题 Char Char"/>
    <w:link w:val="40"/>
    <w:uiPriority w:val="99"/>
    <w:rPr>
      <w:rFonts w:ascii="黑体" w:eastAsia="黑体"/>
      <w:sz w:val="21"/>
      <w:lang w:val="en-US" w:eastAsia="zh-CN" w:bidi="ar-SA"/>
    </w:rPr>
  </w:style>
  <w:style w:type="character" w:customStyle="1" w:styleId="79">
    <w:name w:val="批注主题 Char Char"/>
    <w:link w:val="80"/>
    <w:uiPriority w:val="0"/>
    <w:rPr>
      <w:rFonts w:ascii="Calibri" w:hAnsi="Calibri" w:eastAsia="宋体"/>
      <w:b/>
      <w:bCs/>
      <w:kern w:val="2"/>
      <w:sz w:val="21"/>
      <w:szCs w:val="22"/>
      <w:lang w:val="en-US" w:eastAsia="zh-CN"/>
    </w:rPr>
  </w:style>
  <w:style w:type="paragraph" w:customStyle="1" w:styleId="80">
    <w:name w:val="annotation subject"/>
    <w:basedOn w:val="4"/>
    <w:next w:val="4"/>
    <w:link w:val="79"/>
    <w:uiPriority w:val="0"/>
    <w:rPr>
      <w:b/>
      <w:bCs/>
    </w:rPr>
  </w:style>
  <w:style w:type="character" w:customStyle="1" w:styleId="81">
    <w:name w:val="annotation reference"/>
    <w:uiPriority w:val="0"/>
    <w:rPr>
      <w:sz w:val="21"/>
      <w:szCs w:val="21"/>
    </w:rPr>
  </w:style>
  <w:style w:type="character" w:customStyle="1" w:styleId="82">
    <w:name w:val="z正文 Char Char"/>
    <w:link w:val="83"/>
    <w:uiPriority w:val="0"/>
    <w:rPr>
      <w:sz w:val="24"/>
      <w:szCs w:val="24"/>
    </w:rPr>
  </w:style>
  <w:style w:type="paragraph" w:customStyle="1" w:styleId="83">
    <w:name w:val="z正文"/>
    <w:basedOn w:val="1"/>
    <w:link w:val="82"/>
    <w:uiPriority w:val="0"/>
    <w:pPr>
      <w:spacing w:before="156" w:beforeLines="50" w:line="360" w:lineRule="auto"/>
      <w:ind w:firstLine="200" w:firstLineChars="200"/>
    </w:pPr>
    <w:rPr>
      <w:rFonts w:ascii="Times New Roman" w:hAnsi="Times New Roman"/>
      <w:kern w:val="0"/>
      <w:sz w:val="24"/>
      <w:szCs w:val="24"/>
    </w:rPr>
  </w:style>
  <w:style w:type="character" w:customStyle="1" w:styleId="84">
    <w:name w:val="段 Char Char Char Char Char Char Char Char Char Char Char Char"/>
    <w:qFormat/>
    <w:uiPriority w:val="0"/>
    <w:rPr>
      <w:rFonts w:ascii="宋体"/>
      <w:sz w:val="21"/>
      <w:lang w:val="en-US" w:eastAsia="zh-CN" w:bidi="ar-SA"/>
    </w:rPr>
  </w:style>
  <w:style w:type="character" w:customStyle="1" w:styleId="85">
    <w:name w:val="段 Char Char Char Char Char Char Char Char Char Char"/>
    <w:qFormat/>
    <w:uiPriority w:val="0"/>
    <w:rPr>
      <w:rFonts w:ascii="宋体"/>
      <w:sz w:val="21"/>
      <w:lang w:val="en-US" w:eastAsia="zh-CN" w:bidi="ar-SA"/>
    </w:rPr>
  </w:style>
  <w:style w:type="paragraph" w:customStyle="1" w:styleId="86">
    <w:name w:val="附录表标题"/>
    <w:next w:val="31"/>
    <w:uiPriority w:val="0"/>
    <w:pPr>
      <w:jc w:val="center"/>
      <w:textAlignment w:val="baseline"/>
    </w:pPr>
    <w:rPr>
      <w:rFonts w:ascii="黑体" w:eastAsia="黑体"/>
      <w:kern w:val="21"/>
      <w:sz w:val="21"/>
      <w:lang w:val="en-US" w:eastAsia="zh-CN" w:bidi="ar-SA"/>
    </w:rPr>
  </w:style>
  <w:style w:type="paragraph" w:customStyle="1" w:styleId="87">
    <w:name w:val="List Paragraph"/>
    <w:basedOn w:val="1"/>
    <w:uiPriority w:val="0"/>
    <w:pPr>
      <w:spacing w:before="120" w:beforeLines="0" w:after="120" w:afterLines="0" w:line="240" w:lineRule="atLeast"/>
      <w:ind w:firstLine="420" w:firstLineChars="200"/>
    </w:pPr>
  </w:style>
  <w:style w:type="paragraph" w:customStyle="1" w:styleId="88">
    <w:name w:val="注："/>
    <w:next w:val="31"/>
    <w:uiPriority w:val="0"/>
    <w:pPr>
      <w:widowControl w:val="0"/>
      <w:autoSpaceDE w:val="0"/>
      <w:autoSpaceDN w:val="0"/>
      <w:ind w:left="726" w:hanging="363"/>
      <w:jc w:val="both"/>
    </w:pPr>
    <w:rPr>
      <w:rFonts w:ascii="宋体"/>
      <w:sz w:val="18"/>
      <w:szCs w:val="18"/>
      <w:lang w:val="en-US" w:eastAsia="zh-CN" w:bidi="ar-SA"/>
    </w:rPr>
  </w:style>
  <w:style w:type="paragraph" w:customStyle="1" w:styleId="89">
    <w:name w:val="无标题条"/>
    <w:next w:val="31"/>
    <w:uiPriority w:val="0"/>
    <w:pPr>
      <w:jc w:val="both"/>
    </w:pPr>
    <w:rPr>
      <w:sz w:val="21"/>
      <w:lang w:val="en-US" w:eastAsia="zh-CN" w:bidi="ar-SA"/>
    </w:rPr>
  </w:style>
  <w:style w:type="paragraph" w:customStyle="1" w:styleId="90">
    <w:name w:val="附录五级条标题"/>
    <w:basedOn w:val="91"/>
    <w:next w:val="31"/>
    <w:uiPriority w:val="0"/>
    <w:pPr>
      <w:outlineLvl w:val="6"/>
    </w:pPr>
  </w:style>
  <w:style w:type="paragraph" w:customStyle="1" w:styleId="91">
    <w:name w:val="附录四级条标题"/>
    <w:basedOn w:val="92"/>
    <w:next w:val="31"/>
    <w:uiPriority w:val="0"/>
    <w:pPr>
      <w:outlineLvl w:val="5"/>
    </w:pPr>
  </w:style>
  <w:style w:type="paragraph" w:customStyle="1" w:styleId="92">
    <w:name w:val="附录三级条标题"/>
    <w:basedOn w:val="93"/>
    <w:next w:val="31"/>
    <w:uiPriority w:val="0"/>
    <w:pPr>
      <w:outlineLvl w:val="4"/>
    </w:pPr>
  </w:style>
  <w:style w:type="paragraph" w:customStyle="1" w:styleId="93">
    <w:name w:val="附录二级条标题"/>
    <w:basedOn w:val="94"/>
    <w:next w:val="31"/>
    <w:uiPriority w:val="0"/>
    <w:pPr>
      <w:spacing w:before="0" w:beforeLines="0" w:after="0" w:afterLines="0"/>
      <w:outlineLvl w:val="3"/>
    </w:pPr>
  </w:style>
  <w:style w:type="paragraph" w:customStyle="1" w:styleId="94">
    <w:name w:val="附录一级条标题"/>
    <w:basedOn w:val="1"/>
    <w:next w:val="31"/>
    <w:qFormat/>
    <w:uiPriority w:val="0"/>
    <w:pPr>
      <w:widowControl/>
      <w:tabs>
        <w:tab w:val="left" w:pos="360"/>
      </w:tabs>
      <w:wordWrap w:val="0"/>
      <w:overflowPunct w:val="0"/>
      <w:autoSpaceDE w:val="0"/>
      <w:autoSpaceDN w:val="0"/>
      <w:spacing w:before="156" w:beforeLines="50" w:after="156" w:afterLines="50"/>
      <w:textAlignment w:val="baseline"/>
      <w:outlineLvl w:val="2"/>
    </w:pPr>
    <w:rPr>
      <w:rFonts w:ascii="黑体" w:hAnsi="Times New Roman" w:eastAsia="黑体"/>
      <w:kern w:val="21"/>
      <w:szCs w:val="20"/>
    </w:rPr>
  </w:style>
  <w:style w:type="paragraph" w:customStyle="1" w:styleId="95">
    <w:name w:val="标准书脚_偶数页"/>
    <w:uiPriority w:val="0"/>
    <w:pPr>
      <w:spacing w:before="120"/>
      <w:ind w:left="221"/>
    </w:pPr>
    <w:rPr>
      <w:rFonts w:ascii="宋体"/>
      <w:sz w:val="18"/>
      <w:szCs w:val="18"/>
      <w:lang w:val="en-US" w:eastAsia="zh-CN" w:bidi="ar-SA"/>
    </w:rPr>
  </w:style>
  <w:style w:type="paragraph" w:customStyle="1" w:styleId="96">
    <w:name w:val="列出段落2"/>
    <w:basedOn w:val="1"/>
    <w:uiPriority w:val="0"/>
    <w:pPr>
      <w:ind w:firstLine="420" w:firstLineChars="200"/>
    </w:pPr>
    <w:rPr>
      <w:rFonts w:ascii="Times New Roman" w:hAnsi="Times New Roman"/>
      <w:szCs w:val="24"/>
    </w:rPr>
  </w:style>
  <w:style w:type="paragraph" w:customStyle="1" w:styleId="97">
    <w:name w:val="三级条标题"/>
    <w:basedOn w:val="38"/>
    <w:next w:val="31"/>
    <w:uiPriority w:val="0"/>
    <w:pPr>
      <w:outlineLvl w:val="4"/>
    </w:pPr>
  </w:style>
  <w:style w:type="paragraph" w:customStyle="1" w:styleId="98">
    <w:name w:val="四级条标题"/>
    <w:basedOn w:val="97"/>
    <w:next w:val="31"/>
    <w:uiPriority w:val="0"/>
    <w:pPr>
      <w:outlineLvl w:val="5"/>
    </w:pPr>
  </w:style>
  <w:style w:type="paragraph" w:customStyle="1" w:styleId="99">
    <w:name w:val="五级条标题"/>
    <w:basedOn w:val="98"/>
    <w:next w:val="31"/>
    <w:uiPriority w:val="0"/>
    <w:pPr>
      <w:outlineLvl w:val="6"/>
    </w:pPr>
  </w:style>
  <w:style w:type="paragraph" w:customStyle="1" w:styleId="100">
    <w:name w:val="编号列项（三级）"/>
    <w:qFormat/>
    <w:uiPriority w:val="0"/>
    <w:pPr>
      <w:numPr>
        <w:ilvl w:val="2"/>
        <w:numId w:val="1"/>
      </w:numPr>
    </w:pPr>
    <w:rPr>
      <w:rFonts w:ascii="宋体"/>
      <w:sz w:val="21"/>
      <w:lang w:val="en-US" w:eastAsia="zh-CN" w:bidi="ar-SA"/>
    </w:rPr>
  </w:style>
  <w:style w:type="paragraph" w:customStyle="1" w:styleId="101">
    <w:name w:val="Default"/>
    <w:uiPriority w:val="0"/>
    <w:pPr>
      <w:widowControl w:val="0"/>
      <w:autoSpaceDE w:val="0"/>
      <w:autoSpaceDN w:val="0"/>
      <w:adjustRightInd w:val="0"/>
    </w:pPr>
    <w:rPr>
      <w:color w:val="000000"/>
      <w:sz w:val="24"/>
      <w:szCs w:val="24"/>
      <w:lang w:val="en-US" w:eastAsia="zh-CN" w:bidi="ar-SA"/>
    </w:rPr>
  </w:style>
  <w:style w:type="paragraph" w:customStyle="1" w:styleId="102">
    <w:name w:val="标准标志"/>
    <w:next w:val="1"/>
    <w:uiPriority w:val="99"/>
    <w:pPr>
      <w:shd w:val="solid" w:color="FFFFFF" w:fill="FFFFFF"/>
      <w:spacing w:line="240" w:lineRule="atLeast"/>
      <w:jc w:val="right"/>
    </w:pPr>
    <w:rPr>
      <w:b/>
      <w:bCs/>
      <w:w w:val="170"/>
      <w:sz w:val="96"/>
      <w:szCs w:val="96"/>
      <w:lang w:val="en-US" w:eastAsia="zh-CN" w:bidi="ar-SA"/>
    </w:rPr>
  </w:style>
  <w:style w:type="paragraph" w:customStyle="1" w:styleId="103">
    <w:name w:val="style2"/>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04">
    <w:name w:val="文献分类号"/>
    <w:uiPriority w:val="0"/>
    <w:pPr>
      <w:widowControl w:val="0"/>
      <w:textAlignment w:val="center"/>
    </w:pPr>
    <w:rPr>
      <w:rFonts w:ascii="黑体" w:eastAsia="黑体"/>
      <w:sz w:val="21"/>
      <w:szCs w:val="21"/>
      <w:lang w:val="en-US" w:eastAsia="zh-CN" w:bidi="ar-SA"/>
    </w:rPr>
  </w:style>
  <w:style w:type="paragraph" w:customStyle="1" w:styleId="105">
    <w:name w:val="附录章标题"/>
    <w:next w:val="31"/>
    <w:uiPriority w:val="0"/>
    <w:pPr>
      <w:wordWrap w:val="0"/>
      <w:overflowPunct w:val="0"/>
      <w:autoSpaceDE w:val="0"/>
      <w:spacing w:before="156" w:beforeLines="50" w:after="156" w:afterLines="50"/>
      <w:jc w:val="both"/>
      <w:textAlignment w:val="baseline"/>
      <w:outlineLvl w:val="1"/>
    </w:pPr>
    <w:rPr>
      <w:rFonts w:ascii="黑体" w:eastAsia="黑体"/>
      <w:kern w:val="21"/>
      <w:sz w:val="21"/>
      <w:lang w:val="en-US" w:eastAsia="zh-CN" w:bidi="ar-SA"/>
    </w:rPr>
  </w:style>
  <w:style w:type="paragraph" w:customStyle="1" w:styleId="106">
    <w:name w:val="索引 91"/>
    <w:basedOn w:val="1"/>
    <w:next w:val="1"/>
    <w:uiPriority w:val="0"/>
    <w:pPr>
      <w:ind w:left="1890" w:hanging="210"/>
      <w:jc w:val="left"/>
    </w:pPr>
    <w:rPr>
      <w:sz w:val="20"/>
      <w:szCs w:val="20"/>
    </w:rPr>
  </w:style>
  <w:style w:type="paragraph" w:customStyle="1" w:styleId="107">
    <w:name w:val="附录五级无"/>
    <w:basedOn w:val="90"/>
    <w:uiPriority w:val="0"/>
    <w:pPr>
      <w:numPr>
        <w:ilvl w:val="0"/>
        <w:numId w:val="0"/>
      </w:numPr>
    </w:pPr>
    <w:rPr>
      <w:rFonts w:ascii="宋体" w:eastAsia="宋体"/>
      <w:szCs w:val="21"/>
    </w:rPr>
  </w:style>
  <w:style w:type="paragraph" w:customStyle="1" w:styleId="108">
    <w:name w:val="封面一致性程度标识"/>
    <w:uiPriority w:val="0"/>
    <w:pPr>
      <w:spacing w:before="440" w:line="400" w:lineRule="exact"/>
      <w:jc w:val="center"/>
    </w:pPr>
    <w:rPr>
      <w:rFonts w:ascii="宋体"/>
      <w:sz w:val="28"/>
      <w:lang w:val="en-US" w:eastAsia="zh-CN" w:bidi="ar-SA"/>
    </w:rPr>
  </w:style>
  <w:style w:type="paragraph" w:customStyle="1" w:styleId="109">
    <w:name w:val="列项◆（三级）"/>
    <w:basedOn w:val="1"/>
    <w:uiPriority w:val="0"/>
    <w:pPr>
      <w:tabs>
        <w:tab w:val="left" w:pos="1678"/>
      </w:tabs>
      <w:ind w:left="1678" w:hanging="414"/>
    </w:pPr>
    <w:rPr>
      <w:rFonts w:ascii="宋体" w:hAnsi="Times New Roman"/>
      <w:szCs w:val="21"/>
    </w:rPr>
  </w:style>
  <w:style w:type="paragraph" w:customStyle="1" w:styleId="110">
    <w:name w:val="列出段落1"/>
    <w:basedOn w:val="1"/>
    <w:uiPriority w:val="0"/>
    <w:pPr>
      <w:ind w:firstLine="420" w:firstLineChars="200"/>
    </w:pPr>
  </w:style>
  <w:style w:type="paragraph" w:customStyle="1" w:styleId="111">
    <w:name w:val="标准书眉_偶数页"/>
    <w:basedOn w:val="1"/>
    <w:next w:val="1"/>
    <w:uiPriority w:val="0"/>
    <w:pPr>
      <w:widowControl/>
      <w:tabs>
        <w:tab w:val="center" w:pos="4154"/>
        <w:tab w:val="right" w:pos="8306"/>
      </w:tabs>
      <w:spacing w:after="120" w:afterLines="0"/>
      <w:jc w:val="left"/>
    </w:pPr>
    <w:rPr>
      <w:rFonts w:ascii="宋体" w:hAnsi="宋体"/>
      <w:kern w:val="0"/>
      <w:szCs w:val="20"/>
    </w:rPr>
  </w:style>
  <w:style w:type="paragraph" w:customStyle="1" w:styleId="112">
    <w:name w:val="数字编号列项（二级）"/>
    <w:qFormat/>
    <w:uiPriority w:val="0"/>
    <w:pPr>
      <w:numPr>
        <w:ilvl w:val="1"/>
        <w:numId w:val="1"/>
      </w:numPr>
      <w:jc w:val="both"/>
    </w:pPr>
    <w:rPr>
      <w:rFonts w:ascii="宋体"/>
      <w:sz w:val="21"/>
      <w:lang w:val="en-US" w:eastAsia="zh-CN" w:bidi="ar-SA"/>
    </w:rPr>
  </w:style>
  <w:style w:type="paragraph" w:customStyle="1" w:styleId="113">
    <w:name w:val="样式 四级条标题 + 宋体 段前: 0.5 行 段后: 0.5 行"/>
    <w:basedOn w:val="98"/>
    <w:uiPriority w:val="0"/>
    <w:pPr>
      <w:tabs>
        <w:tab w:val="left" w:pos="1140"/>
      </w:tabs>
      <w:spacing w:before="0" w:beforeLines="0" w:after="0" w:afterLines="0"/>
      <w:ind w:left="726" w:rightChars="100" w:hanging="363"/>
    </w:pPr>
    <w:rPr>
      <w:rFonts w:ascii="宋体" w:hAnsi="宋体" w:eastAsia="宋体" w:cs="宋体"/>
      <w:szCs w:val="20"/>
      <w:lang w:val="en-US" w:eastAsia="zh-CN"/>
    </w:rPr>
  </w:style>
  <w:style w:type="paragraph" w:customStyle="1" w:styleId="114">
    <w:name w:val="附录图标题"/>
    <w:basedOn w:val="1"/>
    <w:next w:val="31"/>
    <w:uiPriority w:val="0"/>
    <w:pPr>
      <w:numPr>
        <w:ilvl w:val="1"/>
        <w:numId w:val="2"/>
      </w:numPr>
      <w:tabs>
        <w:tab w:val="left" w:pos="363"/>
      </w:tabs>
      <w:spacing w:before="156" w:beforeLines="50" w:after="156" w:afterLines="50"/>
      <w:ind w:left="0" w:firstLine="0"/>
      <w:jc w:val="center"/>
    </w:pPr>
    <w:rPr>
      <w:rFonts w:ascii="黑体" w:hAnsi="Times New Roman" w:eastAsia="黑体"/>
      <w:szCs w:val="21"/>
    </w:rPr>
  </w:style>
  <w:style w:type="paragraph" w:customStyle="1" w:styleId="115">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16">
    <w:name w:val="标准书脚_奇数页"/>
    <w:uiPriority w:val="0"/>
    <w:pPr>
      <w:spacing w:before="120"/>
      <w:ind w:right="198"/>
      <w:jc w:val="right"/>
    </w:pPr>
    <w:rPr>
      <w:rFonts w:ascii="宋体"/>
      <w:sz w:val="18"/>
      <w:szCs w:val="18"/>
      <w:lang w:val="en-US" w:eastAsia="zh-CN" w:bidi="ar-SA"/>
    </w:rPr>
  </w:style>
  <w:style w:type="paragraph" w:customStyle="1" w:styleId="117">
    <w:name w:val="其他实施日期"/>
    <w:basedOn w:val="1"/>
    <w:uiPriority w:val="0"/>
    <w:pPr>
      <w:widowControl/>
      <w:jc w:val="right"/>
    </w:pPr>
    <w:rPr>
      <w:rFonts w:ascii="Times New Roman" w:hAnsi="Times New Roman" w:eastAsia="黑体"/>
      <w:kern w:val="0"/>
      <w:sz w:val="28"/>
      <w:szCs w:val="20"/>
    </w:rPr>
  </w:style>
  <w:style w:type="paragraph" w:customStyle="1" w:styleId="118">
    <w:name w:val="p0"/>
    <w:basedOn w:val="1"/>
    <w:uiPriority w:val="0"/>
    <w:pPr>
      <w:widowControl/>
    </w:pPr>
    <w:rPr>
      <w:rFonts w:ascii="Times New Roman" w:hAnsi="Times New Roman"/>
      <w:kern w:val="0"/>
      <w:szCs w:val="21"/>
    </w:rPr>
  </w:style>
  <w:style w:type="paragraph" w:customStyle="1" w:styleId="119">
    <w:name w:val="封面一致性程度标识2"/>
    <w:basedOn w:val="108"/>
    <w:uiPriority w:val="0"/>
    <w:pPr>
      <w:widowControl w:val="0"/>
      <w:textAlignment w:val="center"/>
    </w:pPr>
    <w:rPr>
      <w:szCs w:val="28"/>
    </w:rPr>
  </w:style>
  <w:style w:type="paragraph" w:customStyle="1" w:styleId="120">
    <w:name w:val="普通(网站)1"/>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1">
    <w:name w:val="条文脚注"/>
    <w:basedOn w:val="14"/>
    <w:uiPriority w:val="0"/>
    <w:pPr>
      <w:tabs>
        <w:tab w:val="left" w:pos="0"/>
      </w:tabs>
      <w:jc w:val="both"/>
    </w:pPr>
    <w:rPr>
      <w:rFonts w:ascii="宋体" w:hAnsi="Times New Roman"/>
    </w:rPr>
  </w:style>
  <w:style w:type="paragraph" w:customStyle="1" w:styleId="122">
    <w:name w:val="封面标准名称"/>
    <w:uiPriority w:val="0"/>
    <w:pPr>
      <w:widowControl w:val="0"/>
      <w:spacing w:line="680" w:lineRule="exact"/>
      <w:jc w:val="center"/>
      <w:textAlignment w:val="center"/>
    </w:pPr>
    <w:rPr>
      <w:rFonts w:ascii="黑体" w:eastAsia="黑体"/>
      <w:sz w:val="52"/>
      <w:lang w:val="en-US" w:eastAsia="zh-CN" w:bidi="ar-SA"/>
    </w:rPr>
  </w:style>
  <w:style w:type="paragraph" w:customStyle="1" w:styleId="123">
    <w:name w:val="字母编号列项（一级）"/>
    <w:qFormat/>
    <w:uiPriority w:val="0"/>
    <w:pPr>
      <w:numPr>
        <w:ilvl w:val="0"/>
        <w:numId w:val="1"/>
      </w:numPr>
      <w:jc w:val="both"/>
    </w:pPr>
    <w:rPr>
      <w:rFonts w:ascii="宋体"/>
      <w:sz w:val="21"/>
      <w:lang w:val="en-US" w:eastAsia="zh-CN" w:bidi="ar-SA"/>
    </w:rPr>
  </w:style>
  <w:style w:type="paragraph" w:customStyle="1" w:styleId="124">
    <w:name w:val="列项●（二级）"/>
    <w:uiPriority w:val="0"/>
    <w:pPr>
      <w:tabs>
        <w:tab w:val="left" w:pos="840"/>
      </w:tabs>
      <w:ind w:left="1264" w:hanging="413"/>
      <w:jc w:val="both"/>
    </w:pPr>
    <w:rPr>
      <w:rFonts w:ascii="宋体"/>
      <w:sz w:val="21"/>
      <w:lang w:val="en-US" w:eastAsia="zh-CN" w:bidi="ar-SA"/>
    </w:rPr>
  </w:style>
  <w:style w:type="paragraph" w:customStyle="1" w:styleId="125">
    <w:name w:val="一级无标题条"/>
    <w:basedOn w:val="1"/>
    <w:uiPriority w:val="0"/>
    <w:rPr>
      <w:rFonts w:ascii="Times New Roman" w:hAnsi="Times New Roman"/>
      <w:szCs w:val="24"/>
    </w:rPr>
  </w:style>
  <w:style w:type="paragraph" w:customStyle="1" w:styleId="126">
    <w:name w:val="修订1"/>
    <w:uiPriority w:val="0"/>
    <w:rPr>
      <w:rFonts w:ascii="Calibri" w:hAnsi="Calibri"/>
      <w:kern w:val="2"/>
      <w:sz w:val="21"/>
      <w:szCs w:val="22"/>
      <w:lang w:val="en-US" w:eastAsia="zh-CN" w:bidi="ar-SA"/>
    </w:rPr>
  </w:style>
  <w:style w:type="paragraph" w:customStyle="1" w:styleId="127">
    <w:name w:val="1"/>
    <w:basedOn w:val="1"/>
    <w:next w:val="25"/>
    <w:uiPriority w:val="0"/>
    <w:pPr>
      <w:ind w:left="735" w:leftChars="350" w:firstLine="420" w:firstLineChars="200"/>
    </w:pPr>
    <w:rPr>
      <w:rFonts w:ascii="Times New Roman" w:hAnsi="Times New Roman"/>
      <w:szCs w:val="24"/>
    </w:rPr>
  </w:style>
  <w:style w:type="paragraph" w:customStyle="1" w:styleId="128">
    <w:name w:val="正文文本缩进1"/>
    <w:basedOn w:val="1"/>
    <w:uiPriority w:val="0"/>
    <w:pPr>
      <w:spacing w:after="120" w:afterLines="0"/>
      <w:ind w:left="420" w:leftChars="200"/>
    </w:pPr>
    <w:rPr>
      <w:rFonts w:ascii="Times New Roman" w:hAnsi="Times New Roman"/>
      <w:szCs w:val="24"/>
    </w:rPr>
  </w:style>
  <w:style w:type="paragraph" w:customStyle="1" w:styleId="129">
    <w:name w:val="封面正文"/>
    <w:uiPriority w:val="0"/>
    <w:pPr>
      <w:jc w:val="both"/>
    </w:pPr>
    <w:rPr>
      <w:lang w:val="en-US" w:eastAsia="zh-CN" w:bidi="ar-SA"/>
    </w:rPr>
  </w:style>
  <w:style w:type="paragraph" w:customStyle="1" w:styleId="130">
    <w:name w:val="附录图标号"/>
    <w:basedOn w:val="1"/>
    <w:uiPriority w:val="0"/>
    <w:pPr>
      <w:keepNext/>
      <w:pageBreakBefore/>
      <w:widowControl/>
      <w:numPr>
        <w:ilvl w:val="0"/>
        <w:numId w:val="2"/>
      </w:numPr>
      <w:spacing w:line="14" w:lineRule="exact"/>
      <w:ind w:left="0" w:firstLine="363"/>
      <w:jc w:val="center"/>
      <w:outlineLvl w:val="0"/>
    </w:pPr>
    <w:rPr>
      <w:rFonts w:ascii="Times New Roman" w:hAnsi="Times New Roman"/>
      <w:color w:val="FFFFFF"/>
      <w:szCs w:val="24"/>
    </w:rPr>
  </w:style>
  <w:style w:type="paragraph" w:customStyle="1" w:styleId="131">
    <w:name w:val="封面标准文稿编辑信息"/>
    <w:basedOn w:val="1"/>
    <w:uiPriority w:val="0"/>
    <w:pPr>
      <w:spacing w:before="180" w:beforeLines="0" w:after="160" w:afterLines="0" w:line="180" w:lineRule="exact"/>
      <w:jc w:val="center"/>
      <w:textAlignment w:val="center"/>
    </w:pPr>
    <w:rPr>
      <w:rFonts w:ascii="宋体" w:hAnsi="Times New Roman" w:cs="宋体"/>
      <w:kern w:val="0"/>
      <w:szCs w:val="21"/>
    </w:rPr>
  </w:style>
  <w:style w:type="paragraph" w:customStyle="1" w:styleId="132">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133">
    <w:name w:val="目次、标准名称标题"/>
    <w:basedOn w:val="1"/>
    <w:next w:val="31"/>
    <w:uiPriority w:val="0"/>
    <w:pPr>
      <w:widowControl/>
      <w:shd w:val="clear" w:color="FFFFFF" w:fill="FFFFFF"/>
      <w:spacing w:before="640" w:beforeLines="0" w:after="560" w:afterLines="0" w:line="460" w:lineRule="exact"/>
      <w:jc w:val="center"/>
      <w:outlineLvl w:val="0"/>
    </w:pPr>
    <w:rPr>
      <w:rFonts w:ascii="黑体" w:hAnsi="Times New Roman" w:eastAsia="黑体"/>
      <w:kern w:val="0"/>
      <w:sz w:val="32"/>
      <w:szCs w:val="20"/>
    </w:rPr>
  </w:style>
  <w:style w:type="paragraph" w:customStyle="1" w:styleId="134">
    <w:name w:val="样式"/>
    <w:uiPriority w:val="0"/>
    <w:pPr>
      <w:widowControl w:val="0"/>
      <w:autoSpaceDE w:val="0"/>
      <w:autoSpaceDN w:val="0"/>
      <w:adjustRightInd w:val="0"/>
    </w:pPr>
    <w:rPr>
      <w:rFonts w:ascii="Courier New" w:hAnsi="Courier New" w:cs="Courier New"/>
      <w:sz w:val="24"/>
      <w:szCs w:val="24"/>
      <w:lang w:val="en-US" w:eastAsia="zh-CN" w:bidi="ar-SA"/>
    </w:rPr>
  </w:style>
  <w:style w:type="paragraph" w:customStyle="1" w:styleId="135">
    <w:name w:val="批注主题1"/>
    <w:basedOn w:val="4"/>
    <w:next w:val="4"/>
    <w:uiPriority w:val="0"/>
    <w:rPr>
      <w:b/>
      <w:bCs/>
    </w:rPr>
  </w:style>
  <w:style w:type="paragraph" w:customStyle="1" w:styleId="136">
    <w:name w:val="附录标识"/>
    <w:basedOn w:val="1"/>
    <w:qFormat/>
    <w:uiPriority w:val="0"/>
    <w:pPr>
      <w:widowControl/>
      <w:shd w:val="clear" w:color="FFFFFF" w:fill="FFFFFF"/>
      <w:tabs>
        <w:tab w:val="left" w:pos="6405"/>
      </w:tabs>
      <w:spacing w:before="640" w:beforeLines="0" w:after="200" w:afterLines="0"/>
      <w:ind w:left="3780"/>
      <w:jc w:val="center"/>
      <w:outlineLvl w:val="0"/>
    </w:pPr>
    <w:rPr>
      <w:rFonts w:ascii="黑体" w:hAnsi="Times New Roman" w:eastAsia="黑体"/>
      <w:kern w:val="0"/>
      <w:szCs w:val="20"/>
    </w:rPr>
  </w:style>
  <w:style w:type="paragraph" w:customStyle="1" w:styleId="137">
    <w:name w:val="列项——（一级）"/>
    <w:uiPriority w:val="0"/>
    <w:pPr>
      <w:widowControl w:val="0"/>
      <w:ind w:left="833" w:hanging="408"/>
      <w:jc w:val="both"/>
    </w:pPr>
    <w:rPr>
      <w:rFonts w:ascii="宋体"/>
      <w:sz w:val="21"/>
      <w:lang w:val="en-US" w:eastAsia="zh-CN" w:bidi="ar-SA"/>
    </w:rPr>
  </w:style>
  <w:style w:type="paragraph" w:customStyle="1" w:styleId="138">
    <w:name w:val="文本"/>
    <w:basedOn w:val="1"/>
    <w:uiPriority w:val="0"/>
    <w:pPr>
      <w:spacing w:line="320" w:lineRule="exact"/>
      <w:ind w:firstLine="200" w:firstLineChars="200"/>
    </w:pPr>
    <w:rPr>
      <w:rFonts w:ascii="Times New Roman" w:hAnsi="Times New Roman"/>
      <w:szCs w:val="24"/>
    </w:rPr>
  </w:style>
  <w:style w:type="paragraph" w:customStyle="1" w:styleId="139">
    <w:name w:val="标准称谓"/>
    <w:next w:val="1"/>
    <w:qFormat/>
    <w:uiPriority w:val="0"/>
    <w:pPr>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140">
    <w:name w:val="列出段落3"/>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2522</Words>
  <Characters>3026</Characters>
  <Lines>23</Lines>
  <Paragraphs>6</Paragraphs>
  <TotalTime>0</TotalTime>
  <ScaleCrop>false</ScaleCrop>
  <LinksUpToDate>false</LinksUpToDate>
  <CharactersWithSpaces>3084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2019-12-27T02:29:00Z</dcterms:created>
  <dc:creator>DEll</dc:creator>
  <cp:lastModifiedBy>陈鑫</cp:lastModifiedBy>
  <cp:lastPrinted>2019-12-05T12:09:14Z</cp:lastPrinted>
  <dcterms:modified xsi:type="dcterms:W3CDTF">2022-12-02T02:32:20Z</dcterms:modified>
  <dc:title>交通运输部关于发布塑料隔离墩等10项交通运输行业标准和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569D97836F3441C1B48B2C27DFFC4DC2</vt:lpwstr>
  </property>
</Properties>
</file>