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7761BDE">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ascii="方正小标宋_GBK" w:hAnsi="方正小标宋_GBK" w:eastAsia="方正小标宋_GBK" w:cs="方正小标宋_GBK"/>
          <w:sz w:val="36"/>
          <w:szCs w:val="36"/>
          <w:lang w:val="en-US" w:eastAsia="zh-CN"/>
        </w:rPr>
      </w:pPr>
      <w:r>
        <w:rPr>
          <w:rFonts w:hint="eastAsia" w:ascii="方正小标宋_GBK" w:hAnsi="方正小标宋_GBK" w:eastAsia="方正小标宋_GBK" w:cs="方正小标宋_GBK"/>
          <w:sz w:val="36"/>
          <w:szCs w:val="36"/>
          <w:lang w:val="en-US" w:eastAsia="zh-CN"/>
        </w:rPr>
        <w:t>赤壁市车埠镇人民政府2022年度部门决算</w:t>
      </w:r>
    </w:p>
    <w:p w14:paraId="547F1DA1">
      <w:pPr>
        <w:keepNext w:val="0"/>
        <w:keepLines w:val="0"/>
        <w:pageBreakBefore w:val="0"/>
        <w:widowControl w:val="0"/>
        <w:shd w:val="clear" w:color="auto" w:fill="FFFFFF"/>
        <w:kinsoku/>
        <w:wordWrap/>
        <w:overflowPunct/>
        <w:topLinePunct w:val="0"/>
        <w:bidi w:val="0"/>
        <w:spacing w:before="240" w:after="240" w:line="360" w:lineRule="auto"/>
        <w:jc w:val="both"/>
        <w:textAlignment w:val="auto"/>
        <w:outlineLvl w:val="9"/>
        <w:rPr>
          <w:rFonts w:hint="eastAsia" w:ascii="方正小标宋_GBK" w:hAnsi="方正小标宋_GBK" w:eastAsia="方正小标宋_GBK" w:cs="方正小标宋_GBK"/>
          <w:sz w:val="36"/>
          <w:szCs w:val="36"/>
          <w:lang w:val="en-US" w:eastAsia="zh-CN"/>
        </w:rPr>
      </w:pPr>
    </w:p>
    <w:p w14:paraId="6AB1A25F">
      <w:pPr>
        <w:keepNext w:val="0"/>
        <w:keepLines w:val="0"/>
        <w:pageBreakBefore w:val="0"/>
        <w:widowControl w:val="0"/>
        <w:shd w:val="clear" w:color="auto" w:fill="FFFFFF"/>
        <w:kinsoku/>
        <w:wordWrap/>
        <w:overflowPunct/>
        <w:topLinePunct w:val="0"/>
        <w:bidi w:val="0"/>
        <w:spacing w:before="240" w:after="240" w:line="360" w:lineRule="auto"/>
        <w:ind w:firstLine="640"/>
        <w:jc w:val="center"/>
        <w:textAlignment w:val="auto"/>
        <w:outlineLvl w:val="9"/>
        <w:rPr>
          <w:rFonts w:hint="eastAsia" w:ascii="方正小标宋_GBK" w:hAnsi="方正小标宋_GBK" w:eastAsia="方正小标宋_GBK" w:cs="方正小标宋_GBK"/>
          <w:sz w:val="36"/>
          <w:szCs w:val="36"/>
          <w:lang w:val="en-US" w:eastAsia="zh-CN"/>
        </w:rPr>
      </w:pPr>
      <w:r>
        <w:rPr>
          <w:rFonts w:hint="eastAsia" w:ascii="方正小标宋_GBK" w:hAnsi="方正小标宋_GBK" w:eastAsia="方正小标宋_GBK" w:cs="方正小标宋_GBK"/>
          <w:sz w:val="36"/>
          <w:szCs w:val="36"/>
          <w:lang w:val="en-US" w:eastAsia="zh-CN"/>
        </w:rPr>
        <w:t>目    录</w:t>
      </w:r>
    </w:p>
    <w:p w14:paraId="2775A8BA">
      <w:pPr>
        <w:keepNext w:val="0"/>
        <w:keepLines w:val="0"/>
        <w:pageBreakBefore w:val="0"/>
        <w:widowControl w:val="0"/>
        <w:shd w:val="clear" w:color="auto" w:fill="FFFFFF"/>
        <w:kinsoku/>
        <w:wordWrap/>
        <w:overflowPunct/>
        <w:topLinePunct w:val="0"/>
        <w:autoSpaceDE/>
        <w:autoSpaceDN/>
        <w:bidi w:val="0"/>
        <w:spacing w:before="240" w:after="240" w:line="360" w:lineRule="auto"/>
        <w:ind w:firstLine="640"/>
        <w:jc w:val="both"/>
        <w:textAlignment w:val="auto"/>
        <w:outlineLvl w:val="9"/>
        <w:rPr>
          <w:rFonts w:hint="eastAsia" w:ascii="黑体" w:hAnsi="黑体" w:eastAsia="黑体" w:cs="黑体"/>
          <w:u w:val="none"/>
        </w:rPr>
      </w:pPr>
      <w:r>
        <w:rPr>
          <w:rStyle w:val="8"/>
          <w:rFonts w:hint="eastAsia" w:ascii="黑体" w:hAnsi="黑体" w:eastAsia="黑体" w:cs="黑体"/>
          <w:sz w:val="32"/>
          <w:szCs w:val="32"/>
          <w:rtl w:val="0"/>
        </w:rPr>
        <w:t>第一部分</w:t>
      </w:r>
      <w:r>
        <w:rPr>
          <w:rStyle w:val="8"/>
          <w:rFonts w:hint="eastAsia" w:ascii="黑体" w:hAnsi="黑体" w:eastAsia="黑体" w:cs="黑体"/>
          <w:sz w:val="32"/>
          <w:szCs w:val="32"/>
          <w:rtl w:val="0"/>
          <w:lang w:val="en-US" w:eastAsia="en-US"/>
        </w:rPr>
        <w:t xml:space="preserve">  </w:t>
      </w:r>
      <w:r>
        <w:rPr>
          <w:rStyle w:val="8"/>
          <w:rFonts w:hint="eastAsia" w:ascii="黑体" w:hAnsi="黑体" w:eastAsia="黑体" w:cs="黑体"/>
          <w:sz w:val="32"/>
          <w:szCs w:val="32"/>
          <w:u w:val="none"/>
          <w:rtl w:val="0"/>
          <w:lang w:val="en-US" w:eastAsia="zh-CN"/>
        </w:rPr>
        <w:t>赤壁市车埠镇人民政府</w:t>
      </w:r>
      <w:r>
        <w:rPr>
          <w:rStyle w:val="8"/>
          <w:rFonts w:hint="eastAsia" w:ascii="黑体" w:hAnsi="黑体" w:eastAsia="黑体" w:cs="黑体"/>
          <w:sz w:val="32"/>
          <w:szCs w:val="32"/>
          <w:u w:val="none"/>
          <w:rtl w:val="0"/>
        </w:rPr>
        <w:t>概况</w:t>
      </w:r>
    </w:p>
    <w:p w14:paraId="17E6038A">
      <w:pPr>
        <w:keepNext w:val="0"/>
        <w:keepLines w:val="0"/>
        <w:pageBreakBefore w:val="0"/>
        <w:widowControl w:val="0"/>
        <w:kinsoku/>
        <w:wordWrap/>
        <w:overflowPunct/>
        <w:topLinePunct w:val="0"/>
        <w:autoSpaceDE/>
        <w:autoSpaceDN/>
        <w:bidi w:val="0"/>
        <w:adjustRightInd w:val="0"/>
        <w:snapToGrid w:val="0"/>
        <w:spacing w:line="360" w:lineRule="auto"/>
        <w:ind w:right="-781" w:rightChars="-244" w:firstLine="640" w:firstLineChars="200"/>
        <w:jc w:val="both"/>
        <w:textAlignment w:val="auto"/>
        <w:outlineLvl w:val="9"/>
        <w:rPr>
          <w:rFonts w:hint="eastAsia" w:ascii="仿宋_GB2312" w:hAnsi="宋体" w:eastAsia="仿宋_GB2312" w:cs="Times New Roman"/>
          <w:bCs/>
          <w:sz w:val="32"/>
          <w:szCs w:val="32"/>
          <w:highlight w:val="none"/>
          <w:lang w:eastAsia="zh-CN"/>
        </w:rPr>
      </w:pPr>
      <w:r>
        <w:rPr>
          <w:rFonts w:hint="eastAsia" w:ascii="仿宋_GB2312" w:hAnsi="宋体" w:eastAsia="仿宋_GB2312" w:cs="Times New Roman"/>
          <w:bCs/>
          <w:sz w:val="32"/>
          <w:szCs w:val="32"/>
          <w:highlight w:val="none"/>
          <w:rtl w:val="0"/>
        </w:rPr>
        <w:t>一、部门主要</w:t>
      </w:r>
      <w:r>
        <w:rPr>
          <w:rFonts w:hint="eastAsia" w:ascii="仿宋_GB2312" w:hAnsi="宋体" w:cs="Times New Roman"/>
          <w:bCs/>
          <w:sz w:val="32"/>
          <w:szCs w:val="32"/>
          <w:highlight w:val="none"/>
          <w:rtl w:val="0"/>
          <w:lang w:eastAsia="zh-CN"/>
        </w:rPr>
        <w:t>职责</w:t>
      </w:r>
    </w:p>
    <w:p w14:paraId="7EE1496C">
      <w:pPr>
        <w:keepNext w:val="0"/>
        <w:keepLines w:val="0"/>
        <w:pageBreakBefore w:val="0"/>
        <w:widowControl w:val="0"/>
        <w:kinsoku/>
        <w:wordWrap/>
        <w:overflowPunct/>
        <w:topLinePunct w:val="0"/>
        <w:autoSpaceDE/>
        <w:autoSpaceDN/>
        <w:bidi w:val="0"/>
        <w:adjustRightInd w:val="0"/>
        <w:snapToGrid w:val="0"/>
        <w:spacing w:line="360" w:lineRule="auto"/>
        <w:ind w:right="-781" w:rightChars="-244" w:firstLine="640" w:firstLineChars="200"/>
        <w:jc w:val="both"/>
        <w:textAlignment w:val="auto"/>
        <w:outlineLvl w:val="9"/>
        <w:rPr>
          <w:rFonts w:hint="eastAsia" w:ascii="仿宋_GB2312" w:hAnsi="宋体" w:eastAsia="仿宋_GB2312" w:cs="Times New Roman"/>
          <w:bCs/>
          <w:sz w:val="32"/>
          <w:szCs w:val="32"/>
          <w:highlight w:val="none"/>
          <w:lang w:eastAsia="zh-CN"/>
        </w:rPr>
      </w:pPr>
      <w:r>
        <w:rPr>
          <w:rFonts w:hint="eastAsia" w:ascii="仿宋_GB2312" w:hAnsi="宋体" w:eastAsia="仿宋_GB2312" w:cs="Times New Roman"/>
          <w:bCs/>
          <w:sz w:val="32"/>
          <w:szCs w:val="32"/>
          <w:highlight w:val="none"/>
          <w:rtl w:val="0"/>
        </w:rPr>
        <w:t>二、</w:t>
      </w:r>
      <w:r>
        <w:rPr>
          <w:rFonts w:hint="eastAsia" w:ascii="仿宋_GB2312" w:hAnsi="宋体" w:cs="Times New Roman"/>
          <w:bCs/>
          <w:sz w:val="32"/>
          <w:szCs w:val="32"/>
          <w:highlight w:val="none"/>
          <w:rtl w:val="0"/>
          <w:lang w:eastAsia="zh-CN"/>
        </w:rPr>
        <w:t>机构设置情况</w:t>
      </w:r>
    </w:p>
    <w:p w14:paraId="7FB03492">
      <w:pPr>
        <w:keepNext w:val="0"/>
        <w:keepLines w:val="0"/>
        <w:pageBreakBefore w:val="0"/>
        <w:widowControl w:val="0"/>
        <w:shd w:val="clear" w:color="auto" w:fill="FFFFFF"/>
        <w:kinsoku/>
        <w:wordWrap/>
        <w:overflowPunct/>
        <w:topLinePunct w:val="0"/>
        <w:autoSpaceDE/>
        <w:autoSpaceDN/>
        <w:bidi w:val="0"/>
        <w:spacing w:before="240" w:after="240" w:line="360" w:lineRule="auto"/>
        <w:ind w:firstLine="640"/>
        <w:jc w:val="both"/>
        <w:textAlignment w:val="auto"/>
        <w:outlineLvl w:val="9"/>
        <w:rPr>
          <w:u w:val="none"/>
        </w:rPr>
      </w:pPr>
      <w:r>
        <w:rPr>
          <w:rStyle w:val="8"/>
          <w:rFonts w:ascii="黑体" w:hAnsi="黑体" w:eastAsia="黑体" w:cs="黑体"/>
          <w:sz w:val="32"/>
          <w:szCs w:val="32"/>
          <w:rtl w:val="0"/>
        </w:rPr>
        <w:t>第二部分</w:t>
      </w:r>
      <w:r>
        <w:rPr>
          <w:rStyle w:val="8"/>
          <w:rFonts w:ascii="黑体" w:hAnsi="黑体" w:eastAsia="黑体" w:cs="黑体"/>
          <w:sz w:val="32"/>
          <w:szCs w:val="32"/>
          <w:rtl w:val="0"/>
          <w:lang w:val="en-US" w:eastAsia="en-US"/>
        </w:rPr>
        <w:t> </w:t>
      </w:r>
      <w:r>
        <w:rPr>
          <w:rStyle w:val="8"/>
          <w:rFonts w:ascii="黑体" w:hAnsi="黑体" w:eastAsia="黑体" w:cs="黑体"/>
          <w:sz w:val="32"/>
          <w:szCs w:val="32"/>
          <w:u w:val="none"/>
          <w:rtl w:val="0"/>
          <w:lang w:val="en-US" w:eastAsia="en-US"/>
        </w:rPr>
        <w:t xml:space="preserve"> </w:t>
      </w:r>
      <w:r>
        <w:rPr>
          <w:rStyle w:val="8"/>
          <w:rFonts w:hint="eastAsia" w:ascii="黑体" w:hAnsi="黑体" w:eastAsia="黑体" w:cs="黑体"/>
          <w:spacing w:val="1"/>
          <w:w w:val="94"/>
          <w:kern w:val="0"/>
          <w:sz w:val="32"/>
          <w:szCs w:val="32"/>
          <w:u w:val="none"/>
          <w:fitText w:val="5920" w:id="985614656"/>
          <w:rtl w:val="0"/>
          <w:lang w:val="en-US" w:eastAsia="zh-CN"/>
        </w:rPr>
        <w:t>赤壁市车埠镇人民政府</w:t>
      </w:r>
      <w:r>
        <w:rPr>
          <w:rStyle w:val="8"/>
          <w:rFonts w:ascii="黑体" w:hAnsi="黑体" w:eastAsia="黑体" w:cs="黑体"/>
          <w:spacing w:val="1"/>
          <w:w w:val="94"/>
          <w:kern w:val="0"/>
          <w:sz w:val="32"/>
          <w:szCs w:val="32"/>
          <w:u w:val="none"/>
          <w:fitText w:val="5920" w:id="985614656"/>
          <w:rtl w:val="0"/>
          <w:lang w:val="en-US" w:eastAsia="en-US"/>
        </w:rPr>
        <w:t>20</w:t>
      </w:r>
      <w:r>
        <w:rPr>
          <w:rStyle w:val="8"/>
          <w:rFonts w:hint="eastAsia" w:ascii="黑体" w:hAnsi="黑体" w:eastAsia="黑体" w:cs="黑体"/>
          <w:spacing w:val="1"/>
          <w:w w:val="94"/>
          <w:kern w:val="0"/>
          <w:sz w:val="32"/>
          <w:szCs w:val="32"/>
          <w:u w:val="none"/>
          <w:fitText w:val="5920" w:id="985614656"/>
          <w:rtl w:val="0"/>
          <w:lang w:val="en-US" w:eastAsia="zh-CN"/>
        </w:rPr>
        <w:t>22</w:t>
      </w:r>
      <w:r>
        <w:rPr>
          <w:rStyle w:val="8"/>
          <w:rFonts w:ascii="黑体" w:hAnsi="黑体" w:eastAsia="黑体" w:cs="黑体"/>
          <w:spacing w:val="1"/>
          <w:w w:val="94"/>
          <w:kern w:val="0"/>
          <w:sz w:val="32"/>
          <w:szCs w:val="32"/>
          <w:u w:val="none"/>
          <w:fitText w:val="5920" w:id="985614656"/>
          <w:rtl w:val="0"/>
        </w:rPr>
        <w:t>年度部门决算</w:t>
      </w:r>
      <w:r>
        <w:rPr>
          <w:rStyle w:val="8"/>
          <w:rFonts w:ascii="黑体" w:hAnsi="黑体" w:eastAsia="黑体" w:cs="黑体"/>
          <w:spacing w:val="16"/>
          <w:w w:val="94"/>
          <w:kern w:val="0"/>
          <w:sz w:val="32"/>
          <w:szCs w:val="32"/>
          <w:u w:val="none"/>
          <w:fitText w:val="5920" w:id="985614656"/>
          <w:rtl w:val="0"/>
        </w:rPr>
        <w:t>表</w:t>
      </w:r>
    </w:p>
    <w:p w14:paraId="6C46D518">
      <w:pPr>
        <w:keepNext w:val="0"/>
        <w:keepLines w:val="0"/>
        <w:pageBreakBefore w:val="0"/>
        <w:widowControl w:val="0"/>
        <w:numPr>
          <w:ilvl w:val="0"/>
          <w:numId w:val="0"/>
        </w:numPr>
        <w:kinsoku/>
        <w:wordWrap/>
        <w:overflowPunct/>
        <w:topLinePunct w:val="0"/>
        <w:autoSpaceDE/>
        <w:autoSpaceDN/>
        <w:bidi w:val="0"/>
        <w:spacing w:line="360" w:lineRule="auto"/>
        <w:ind w:firstLine="640" w:firstLineChars="200"/>
        <w:jc w:val="both"/>
        <w:textAlignment w:val="auto"/>
        <w:outlineLvl w:val="9"/>
        <w:rPr>
          <w:rFonts w:hint="default" w:ascii="Times New Roman" w:hAnsi="Times New Roman" w:cs="Times New Roman"/>
          <w:lang w:val="en-US" w:eastAsia="zh-CN"/>
        </w:rPr>
      </w:pPr>
      <w:r>
        <w:rPr>
          <w:rFonts w:hint="eastAsia" w:ascii="Times New Roman" w:hAnsi="Times New Roman" w:cs="Times New Roman"/>
          <w:lang w:val="en-US" w:eastAsia="zh-CN"/>
        </w:rPr>
        <w:t>一、收入支出决算总表</w:t>
      </w:r>
    </w:p>
    <w:p w14:paraId="1E717934">
      <w:pPr>
        <w:keepNext w:val="0"/>
        <w:keepLines w:val="0"/>
        <w:pageBreakBefore w:val="0"/>
        <w:widowControl w:val="0"/>
        <w:numPr>
          <w:ilvl w:val="0"/>
          <w:numId w:val="0"/>
        </w:numPr>
        <w:kinsoku/>
        <w:wordWrap/>
        <w:overflowPunct/>
        <w:topLinePunct w:val="0"/>
        <w:autoSpaceDE/>
        <w:autoSpaceDN/>
        <w:bidi w:val="0"/>
        <w:spacing w:line="360" w:lineRule="auto"/>
        <w:ind w:firstLine="640" w:firstLineChars="200"/>
        <w:jc w:val="both"/>
        <w:textAlignment w:val="auto"/>
        <w:outlineLvl w:val="9"/>
        <w:rPr>
          <w:rFonts w:hint="eastAsia" w:ascii="Times New Roman" w:hAnsi="Times New Roman" w:cs="Times New Roman"/>
          <w:lang w:val="en-US" w:eastAsia="zh-CN"/>
        </w:rPr>
      </w:pPr>
      <w:r>
        <w:rPr>
          <w:rFonts w:hint="eastAsia" w:ascii="Times New Roman" w:hAnsi="Times New Roman" w:cs="Times New Roman"/>
          <w:lang w:val="en-US" w:eastAsia="zh-CN"/>
        </w:rPr>
        <w:t>二、收入决算表</w:t>
      </w:r>
    </w:p>
    <w:p w14:paraId="60CE5C93">
      <w:pPr>
        <w:keepNext w:val="0"/>
        <w:keepLines w:val="0"/>
        <w:pageBreakBefore w:val="0"/>
        <w:widowControl w:val="0"/>
        <w:numPr>
          <w:ilvl w:val="0"/>
          <w:numId w:val="0"/>
        </w:numPr>
        <w:kinsoku/>
        <w:wordWrap/>
        <w:overflowPunct/>
        <w:topLinePunct w:val="0"/>
        <w:autoSpaceDE/>
        <w:autoSpaceDN/>
        <w:bidi w:val="0"/>
        <w:spacing w:line="360" w:lineRule="auto"/>
        <w:ind w:firstLine="640" w:firstLineChars="200"/>
        <w:jc w:val="both"/>
        <w:textAlignment w:val="auto"/>
        <w:outlineLvl w:val="9"/>
        <w:rPr>
          <w:rFonts w:hint="eastAsia" w:ascii="Times New Roman" w:hAnsi="Times New Roman" w:cs="Times New Roman"/>
          <w:lang w:val="en-US" w:eastAsia="zh-CN"/>
        </w:rPr>
      </w:pPr>
      <w:r>
        <w:rPr>
          <w:rFonts w:hint="eastAsia" w:ascii="Times New Roman" w:hAnsi="Times New Roman" w:cs="Times New Roman"/>
          <w:lang w:val="en-US" w:eastAsia="zh-CN"/>
        </w:rPr>
        <w:t>三、支出决算表</w:t>
      </w:r>
    </w:p>
    <w:p w14:paraId="4407B720">
      <w:pPr>
        <w:keepNext w:val="0"/>
        <w:keepLines w:val="0"/>
        <w:pageBreakBefore w:val="0"/>
        <w:widowControl w:val="0"/>
        <w:numPr>
          <w:ilvl w:val="0"/>
          <w:numId w:val="0"/>
        </w:numPr>
        <w:kinsoku/>
        <w:wordWrap/>
        <w:overflowPunct/>
        <w:topLinePunct w:val="0"/>
        <w:autoSpaceDE/>
        <w:autoSpaceDN/>
        <w:bidi w:val="0"/>
        <w:spacing w:line="360" w:lineRule="auto"/>
        <w:ind w:firstLine="640" w:firstLineChars="200"/>
        <w:jc w:val="both"/>
        <w:textAlignment w:val="auto"/>
        <w:outlineLvl w:val="9"/>
        <w:rPr>
          <w:rFonts w:hint="eastAsia" w:ascii="Times New Roman" w:hAnsi="Times New Roman" w:cs="Times New Roman"/>
          <w:lang w:val="en-US" w:eastAsia="zh-CN"/>
        </w:rPr>
      </w:pPr>
      <w:r>
        <w:rPr>
          <w:rFonts w:hint="eastAsia" w:ascii="Times New Roman" w:hAnsi="Times New Roman" w:cs="Times New Roman"/>
          <w:lang w:val="en-US" w:eastAsia="zh-CN"/>
        </w:rPr>
        <w:t>四、财政拨款收入支出决算总表</w:t>
      </w:r>
    </w:p>
    <w:p w14:paraId="24E6C5C6">
      <w:pPr>
        <w:keepNext w:val="0"/>
        <w:keepLines w:val="0"/>
        <w:pageBreakBefore w:val="0"/>
        <w:widowControl w:val="0"/>
        <w:numPr>
          <w:ilvl w:val="0"/>
          <w:numId w:val="0"/>
        </w:numPr>
        <w:kinsoku/>
        <w:wordWrap/>
        <w:overflowPunct/>
        <w:topLinePunct w:val="0"/>
        <w:autoSpaceDE/>
        <w:autoSpaceDN/>
        <w:bidi w:val="0"/>
        <w:spacing w:line="360" w:lineRule="auto"/>
        <w:ind w:firstLine="640" w:firstLineChars="200"/>
        <w:jc w:val="both"/>
        <w:textAlignment w:val="auto"/>
        <w:outlineLvl w:val="9"/>
        <w:rPr>
          <w:rFonts w:hint="eastAsia" w:ascii="Times New Roman" w:hAnsi="Times New Roman" w:cs="Times New Roman"/>
          <w:lang w:val="en-US" w:eastAsia="zh-CN"/>
        </w:rPr>
      </w:pPr>
      <w:r>
        <w:rPr>
          <w:rFonts w:hint="eastAsia" w:ascii="Times New Roman" w:hAnsi="Times New Roman" w:cs="Times New Roman"/>
          <w:lang w:val="en-US" w:eastAsia="zh-CN"/>
        </w:rPr>
        <w:t>五、一般公共预算财政拨款支出决算表</w:t>
      </w:r>
    </w:p>
    <w:p w14:paraId="36C8915C">
      <w:pPr>
        <w:keepNext w:val="0"/>
        <w:keepLines w:val="0"/>
        <w:pageBreakBefore w:val="0"/>
        <w:widowControl w:val="0"/>
        <w:numPr>
          <w:ilvl w:val="0"/>
          <w:numId w:val="0"/>
        </w:numPr>
        <w:kinsoku/>
        <w:wordWrap/>
        <w:overflowPunct/>
        <w:topLinePunct w:val="0"/>
        <w:autoSpaceDE/>
        <w:autoSpaceDN/>
        <w:bidi w:val="0"/>
        <w:spacing w:line="360" w:lineRule="auto"/>
        <w:ind w:firstLine="640" w:firstLineChars="200"/>
        <w:jc w:val="both"/>
        <w:textAlignment w:val="auto"/>
        <w:outlineLvl w:val="9"/>
        <w:rPr>
          <w:rFonts w:hint="eastAsia" w:ascii="Times New Roman" w:hAnsi="Times New Roman" w:cs="Times New Roman"/>
          <w:lang w:val="en-US" w:eastAsia="zh-CN"/>
        </w:rPr>
      </w:pPr>
      <w:r>
        <w:rPr>
          <w:rFonts w:hint="eastAsia" w:ascii="Times New Roman" w:hAnsi="Times New Roman" w:cs="Times New Roman"/>
          <w:lang w:val="en-US" w:eastAsia="zh-CN"/>
        </w:rPr>
        <w:t>六、一般公共预算财政拨款基本支出决算明细表</w:t>
      </w:r>
    </w:p>
    <w:p w14:paraId="08EA5587">
      <w:pPr>
        <w:keepNext w:val="0"/>
        <w:keepLines w:val="0"/>
        <w:pageBreakBefore w:val="0"/>
        <w:widowControl w:val="0"/>
        <w:numPr>
          <w:ilvl w:val="0"/>
          <w:numId w:val="0"/>
        </w:numPr>
        <w:kinsoku/>
        <w:wordWrap/>
        <w:overflowPunct/>
        <w:topLinePunct w:val="0"/>
        <w:autoSpaceDE/>
        <w:autoSpaceDN/>
        <w:bidi w:val="0"/>
        <w:spacing w:line="360" w:lineRule="auto"/>
        <w:ind w:firstLine="640" w:firstLineChars="200"/>
        <w:jc w:val="both"/>
        <w:textAlignment w:val="auto"/>
        <w:outlineLvl w:val="9"/>
        <w:rPr>
          <w:rFonts w:hint="eastAsia" w:ascii="Times New Roman" w:hAnsi="Times New Roman" w:cs="Times New Roman"/>
          <w:lang w:val="en-US" w:eastAsia="zh-CN"/>
        </w:rPr>
      </w:pPr>
      <w:r>
        <w:rPr>
          <w:rFonts w:hint="eastAsia" w:ascii="Times New Roman" w:hAnsi="Times New Roman" w:cs="Times New Roman"/>
          <w:lang w:val="en-US" w:eastAsia="zh-CN"/>
        </w:rPr>
        <w:t>七、一般公共预算财政拨款“三公”经费支出决算表</w:t>
      </w:r>
    </w:p>
    <w:p w14:paraId="51CCDB17">
      <w:pPr>
        <w:keepNext w:val="0"/>
        <w:keepLines w:val="0"/>
        <w:pageBreakBefore w:val="0"/>
        <w:widowControl w:val="0"/>
        <w:numPr>
          <w:ilvl w:val="0"/>
          <w:numId w:val="0"/>
        </w:numPr>
        <w:kinsoku/>
        <w:wordWrap/>
        <w:overflowPunct/>
        <w:topLinePunct w:val="0"/>
        <w:autoSpaceDE/>
        <w:autoSpaceDN/>
        <w:bidi w:val="0"/>
        <w:spacing w:line="360" w:lineRule="auto"/>
        <w:ind w:firstLine="640" w:firstLineChars="200"/>
        <w:jc w:val="both"/>
        <w:textAlignment w:val="auto"/>
        <w:outlineLvl w:val="9"/>
        <w:rPr>
          <w:rFonts w:hint="eastAsia" w:ascii="Times New Roman" w:hAnsi="Times New Roman" w:cs="Times New Roman"/>
          <w:lang w:val="en-US" w:eastAsia="zh-CN"/>
        </w:rPr>
      </w:pPr>
      <w:r>
        <w:rPr>
          <w:rFonts w:hint="eastAsia" w:ascii="Times New Roman" w:hAnsi="Times New Roman" w:cs="Times New Roman"/>
          <w:lang w:val="en-US" w:eastAsia="zh-CN"/>
        </w:rPr>
        <w:t>八、政府性基金预算财政拨款收入支出决算表</w:t>
      </w:r>
    </w:p>
    <w:p w14:paraId="1C30B3F3">
      <w:pPr>
        <w:keepNext w:val="0"/>
        <w:keepLines w:val="0"/>
        <w:pageBreakBefore w:val="0"/>
        <w:widowControl w:val="0"/>
        <w:numPr>
          <w:ilvl w:val="0"/>
          <w:numId w:val="0"/>
        </w:numPr>
        <w:kinsoku/>
        <w:wordWrap/>
        <w:overflowPunct/>
        <w:topLinePunct w:val="0"/>
        <w:autoSpaceDE/>
        <w:autoSpaceDN/>
        <w:bidi w:val="0"/>
        <w:spacing w:line="360" w:lineRule="auto"/>
        <w:ind w:firstLine="640" w:firstLineChars="200"/>
        <w:jc w:val="both"/>
        <w:textAlignment w:val="auto"/>
        <w:outlineLvl w:val="9"/>
        <w:rPr>
          <w:rFonts w:hint="eastAsia" w:ascii="Times New Roman" w:hAnsi="Times New Roman" w:cs="Times New Roman"/>
          <w:lang w:val="en-US" w:eastAsia="zh-CN"/>
        </w:rPr>
      </w:pPr>
      <w:r>
        <w:rPr>
          <w:rFonts w:hint="eastAsia" w:ascii="Times New Roman" w:hAnsi="Times New Roman" w:cs="Times New Roman"/>
          <w:lang w:val="en-US" w:eastAsia="zh-CN"/>
        </w:rPr>
        <w:t>九、国有资本经营预算财政拨款支出决算表</w:t>
      </w:r>
    </w:p>
    <w:p w14:paraId="10EF49B2">
      <w:pPr>
        <w:keepNext w:val="0"/>
        <w:keepLines w:val="0"/>
        <w:pageBreakBefore w:val="0"/>
        <w:widowControl w:val="0"/>
        <w:shd w:val="clear" w:color="auto" w:fill="FFFFFF"/>
        <w:kinsoku/>
        <w:wordWrap/>
        <w:overflowPunct/>
        <w:topLinePunct w:val="0"/>
        <w:autoSpaceDE/>
        <w:autoSpaceDN/>
        <w:bidi w:val="0"/>
        <w:spacing w:before="240" w:after="240" w:line="360" w:lineRule="auto"/>
        <w:ind w:firstLine="640"/>
        <w:jc w:val="both"/>
        <w:textAlignment w:val="auto"/>
        <w:outlineLvl w:val="9"/>
        <w:rPr>
          <w:u w:val="none"/>
        </w:rPr>
      </w:pPr>
      <w:r>
        <w:rPr>
          <w:rStyle w:val="8"/>
          <w:rFonts w:ascii="黑体" w:hAnsi="黑体" w:eastAsia="黑体" w:cs="黑体"/>
          <w:sz w:val="32"/>
          <w:szCs w:val="32"/>
          <w:rtl w:val="0"/>
        </w:rPr>
        <w:t>第三部分</w:t>
      </w:r>
      <w:r>
        <w:rPr>
          <w:rStyle w:val="8"/>
          <w:rFonts w:ascii="黑体" w:hAnsi="黑体" w:eastAsia="黑体" w:cs="黑体"/>
          <w:sz w:val="32"/>
          <w:szCs w:val="32"/>
          <w:rtl w:val="0"/>
          <w:lang w:val="en-US" w:eastAsia="en-US"/>
        </w:rPr>
        <w:t xml:space="preserve">  </w:t>
      </w:r>
      <w:r>
        <w:rPr>
          <w:rStyle w:val="8"/>
          <w:rFonts w:hint="eastAsia" w:ascii="黑体" w:hAnsi="黑体" w:eastAsia="黑体" w:cs="黑体"/>
          <w:sz w:val="32"/>
          <w:szCs w:val="32"/>
          <w:u w:val="none"/>
          <w:rtl w:val="0"/>
          <w:lang w:val="en-US" w:eastAsia="zh-CN"/>
        </w:rPr>
        <w:t>赤壁市车埠镇人民政府</w:t>
      </w:r>
      <w:r>
        <w:rPr>
          <w:rStyle w:val="8"/>
          <w:rFonts w:ascii="黑体" w:hAnsi="黑体" w:eastAsia="黑体" w:cs="黑体"/>
          <w:sz w:val="32"/>
          <w:szCs w:val="32"/>
          <w:u w:val="none"/>
          <w:rtl w:val="0"/>
          <w:lang w:val="en-US" w:eastAsia="en-US"/>
        </w:rPr>
        <w:t>20</w:t>
      </w:r>
      <w:r>
        <w:rPr>
          <w:rStyle w:val="8"/>
          <w:rFonts w:hint="eastAsia" w:ascii="黑体" w:hAnsi="黑体" w:eastAsia="黑体" w:cs="黑体"/>
          <w:sz w:val="32"/>
          <w:szCs w:val="32"/>
          <w:u w:val="none"/>
          <w:rtl w:val="0"/>
          <w:lang w:val="en-US" w:eastAsia="zh-CN"/>
        </w:rPr>
        <w:t>22</w:t>
      </w:r>
      <w:r>
        <w:rPr>
          <w:rStyle w:val="8"/>
          <w:rFonts w:ascii="黑体" w:hAnsi="黑体" w:eastAsia="黑体" w:cs="黑体"/>
          <w:sz w:val="32"/>
          <w:szCs w:val="32"/>
          <w:u w:val="none"/>
          <w:rtl w:val="0"/>
        </w:rPr>
        <w:t>年度部门决算情况说明</w:t>
      </w:r>
    </w:p>
    <w:p w14:paraId="00EE38B6">
      <w:pPr>
        <w:keepNext w:val="0"/>
        <w:keepLines w:val="0"/>
        <w:pageBreakBefore w:val="0"/>
        <w:widowControl w:val="0"/>
        <w:numPr>
          <w:ilvl w:val="0"/>
          <w:numId w:val="0"/>
        </w:numPr>
        <w:kinsoku/>
        <w:wordWrap/>
        <w:overflowPunct/>
        <w:topLinePunct w:val="0"/>
        <w:autoSpaceDE/>
        <w:autoSpaceDN/>
        <w:bidi w:val="0"/>
        <w:spacing w:line="360" w:lineRule="auto"/>
        <w:ind w:firstLine="640" w:firstLineChars="200"/>
        <w:jc w:val="both"/>
        <w:textAlignment w:val="auto"/>
        <w:outlineLvl w:val="9"/>
        <w:rPr>
          <w:rFonts w:hint="eastAsia" w:ascii="Times New Roman" w:hAnsi="Times New Roman" w:cs="Times New Roman"/>
          <w:lang w:val="en-US" w:eastAsia="zh-CN"/>
        </w:rPr>
      </w:pPr>
      <w:r>
        <w:rPr>
          <w:rFonts w:hint="eastAsia" w:ascii="Times New Roman" w:hAnsi="Times New Roman" w:cs="Times New Roman"/>
          <w:lang w:val="en-US" w:eastAsia="zh-CN"/>
        </w:rPr>
        <w:t>一、收入支出决算总体情况说明</w:t>
      </w:r>
    </w:p>
    <w:p w14:paraId="722386CB">
      <w:pPr>
        <w:keepNext w:val="0"/>
        <w:keepLines w:val="0"/>
        <w:pageBreakBefore w:val="0"/>
        <w:widowControl w:val="0"/>
        <w:numPr>
          <w:ilvl w:val="0"/>
          <w:numId w:val="0"/>
        </w:numPr>
        <w:kinsoku/>
        <w:wordWrap/>
        <w:overflowPunct/>
        <w:topLinePunct w:val="0"/>
        <w:autoSpaceDE/>
        <w:autoSpaceDN/>
        <w:bidi w:val="0"/>
        <w:spacing w:line="360" w:lineRule="auto"/>
        <w:ind w:firstLine="640" w:firstLineChars="200"/>
        <w:jc w:val="both"/>
        <w:textAlignment w:val="auto"/>
        <w:outlineLvl w:val="9"/>
        <w:rPr>
          <w:rFonts w:hint="eastAsia" w:ascii="Times New Roman" w:hAnsi="Times New Roman" w:cs="Times New Roman"/>
          <w:lang w:val="en-US" w:eastAsia="zh-CN"/>
        </w:rPr>
      </w:pPr>
      <w:r>
        <w:rPr>
          <w:rFonts w:hint="eastAsia" w:ascii="Times New Roman" w:hAnsi="Times New Roman" w:cs="Times New Roman"/>
          <w:lang w:val="en-US" w:eastAsia="zh-CN"/>
        </w:rPr>
        <w:t>二、收入决算情况说明</w:t>
      </w:r>
    </w:p>
    <w:p w14:paraId="72F3077C">
      <w:pPr>
        <w:keepNext w:val="0"/>
        <w:keepLines w:val="0"/>
        <w:pageBreakBefore w:val="0"/>
        <w:widowControl w:val="0"/>
        <w:numPr>
          <w:ilvl w:val="0"/>
          <w:numId w:val="0"/>
        </w:numPr>
        <w:kinsoku/>
        <w:wordWrap/>
        <w:overflowPunct/>
        <w:topLinePunct w:val="0"/>
        <w:autoSpaceDE/>
        <w:autoSpaceDN/>
        <w:bidi w:val="0"/>
        <w:spacing w:line="360" w:lineRule="auto"/>
        <w:ind w:firstLine="640" w:firstLineChars="200"/>
        <w:jc w:val="both"/>
        <w:textAlignment w:val="auto"/>
        <w:outlineLvl w:val="9"/>
        <w:rPr>
          <w:rFonts w:hint="eastAsia" w:ascii="Times New Roman" w:hAnsi="Times New Roman" w:cs="Times New Roman"/>
          <w:lang w:val="en-US" w:eastAsia="zh-CN"/>
        </w:rPr>
      </w:pPr>
      <w:r>
        <w:rPr>
          <w:rFonts w:hint="eastAsia" w:ascii="Times New Roman" w:hAnsi="Times New Roman" w:cs="Times New Roman"/>
          <w:lang w:val="en-US" w:eastAsia="zh-CN"/>
        </w:rPr>
        <w:t>三、支出决算情况说明</w:t>
      </w:r>
    </w:p>
    <w:p w14:paraId="621F891F">
      <w:pPr>
        <w:keepNext w:val="0"/>
        <w:keepLines w:val="0"/>
        <w:pageBreakBefore w:val="0"/>
        <w:widowControl w:val="0"/>
        <w:numPr>
          <w:ilvl w:val="0"/>
          <w:numId w:val="0"/>
        </w:numPr>
        <w:kinsoku/>
        <w:wordWrap/>
        <w:overflowPunct/>
        <w:topLinePunct w:val="0"/>
        <w:autoSpaceDE/>
        <w:autoSpaceDN/>
        <w:bidi w:val="0"/>
        <w:spacing w:line="360" w:lineRule="auto"/>
        <w:ind w:firstLine="640" w:firstLineChars="200"/>
        <w:jc w:val="both"/>
        <w:textAlignment w:val="auto"/>
        <w:outlineLvl w:val="9"/>
        <w:rPr>
          <w:rFonts w:hint="eastAsia" w:ascii="Times New Roman" w:hAnsi="Times New Roman" w:cs="Times New Roman"/>
          <w:lang w:val="en-US" w:eastAsia="zh-CN"/>
        </w:rPr>
      </w:pPr>
      <w:r>
        <w:rPr>
          <w:rFonts w:hint="eastAsia" w:ascii="Times New Roman" w:hAnsi="Times New Roman" w:cs="Times New Roman"/>
          <w:lang w:val="en-US" w:eastAsia="zh-CN"/>
        </w:rPr>
        <w:t>四、财政拨款收入支出决算总体情况说明</w:t>
      </w:r>
    </w:p>
    <w:p w14:paraId="5F478CCA">
      <w:pPr>
        <w:keepNext w:val="0"/>
        <w:keepLines w:val="0"/>
        <w:pageBreakBefore w:val="0"/>
        <w:widowControl w:val="0"/>
        <w:numPr>
          <w:ilvl w:val="0"/>
          <w:numId w:val="0"/>
        </w:numPr>
        <w:kinsoku/>
        <w:wordWrap/>
        <w:overflowPunct/>
        <w:topLinePunct w:val="0"/>
        <w:autoSpaceDE/>
        <w:autoSpaceDN/>
        <w:bidi w:val="0"/>
        <w:spacing w:line="360" w:lineRule="auto"/>
        <w:ind w:firstLine="640" w:firstLineChars="200"/>
        <w:jc w:val="both"/>
        <w:textAlignment w:val="auto"/>
        <w:outlineLvl w:val="9"/>
        <w:rPr>
          <w:rFonts w:hint="eastAsia"/>
          <w:lang w:val="en-US" w:eastAsia="zh-CN"/>
        </w:rPr>
      </w:pPr>
      <w:r>
        <w:rPr>
          <w:rFonts w:hint="eastAsia"/>
          <w:lang w:val="en-US" w:eastAsia="zh-CN"/>
        </w:rPr>
        <w:t>五、一般公共预算财政拨款支出决算情况说明</w:t>
      </w:r>
    </w:p>
    <w:p w14:paraId="529F47D4">
      <w:pPr>
        <w:keepNext w:val="0"/>
        <w:keepLines w:val="0"/>
        <w:pageBreakBefore w:val="0"/>
        <w:widowControl w:val="0"/>
        <w:kinsoku/>
        <w:wordWrap/>
        <w:overflowPunct/>
        <w:topLinePunct w:val="0"/>
        <w:autoSpaceDE/>
        <w:autoSpaceDN/>
        <w:bidi w:val="0"/>
        <w:spacing w:line="360" w:lineRule="auto"/>
        <w:ind w:firstLine="640" w:firstLineChars="200"/>
        <w:jc w:val="both"/>
        <w:textAlignment w:val="auto"/>
        <w:outlineLvl w:val="9"/>
        <w:rPr>
          <w:rFonts w:hint="eastAsia"/>
          <w:lang w:val="en-US" w:eastAsia="zh-CN"/>
        </w:rPr>
      </w:pPr>
      <w:r>
        <w:rPr>
          <w:rFonts w:hint="eastAsia"/>
          <w:lang w:val="en-US" w:eastAsia="zh-CN"/>
        </w:rPr>
        <w:t>六、一般公共预算财政拨款基本支出决算情况说明</w:t>
      </w:r>
    </w:p>
    <w:p w14:paraId="5C0B87FC">
      <w:pPr>
        <w:keepNext w:val="0"/>
        <w:keepLines w:val="0"/>
        <w:pageBreakBefore w:val="0"/>
        <w:widowControl w:val="0"/>
        <w:numPr>
          <w:ilvl w:val="0"/>
          <w:numId w:val="0"/>
        </w:numPr>
        <w:kinsoku/>
        <w:wordWrap/>
        <w:overflowPunct/>
        <w:topLinePunct w:val="0"/>
        <w:autoSpaceDE/>
        <w:autoSpaceDN/>
        <w:bidi w:val="0"/>
        <w:spacing w:line="360" w:lineRule="auto"/>
        <w:ind w:firstLine="640" w:firstLineChars="200"/>
        <w:jc w:val="both"/>
        <w:textAlignment w:val="auto"/>
        <w:outlineLvl w:val="9"/>
        <w:rPr>
          <w:rFonts w:hint="eastAsia"/>
          <w:lang w:val="en-US" w:eastAsia="zh-CN"/>
        </w:rPr>
      </w:pPr>
      <w:r>
        <w:rPr>
          <w:rFonts w:hint="eastAsia"/>
          <w:lang w:val="en-US" w:eastAsia="zh-CN"/>
        </w:rPr>
        <w:t xml:space="preserve">七、财政拨款“三公”经费支出决算情况说明 </w:t>
      </w:r>
    </w:p>
    <w:p w14:paraId="68297BE5">
      <w:pPr>
        <w:keepNext w:val="0"/>
        <w:keepLines w:val="0"/>
        <w:pageBreakBefore w:val="0"/>
        <w:widowControl w:val="0"/>
        <w:numPr>
          <w:ilvl w:val="0"/>
          <w:numId w:val="0"/>
        </w:numPr>
        <w:kinsoku/>
        <w:wordWrap/>
        <w:overflowPunct/>
        <w:topLinePunct w:val="0"/>
        <w:autoSpaceDE/>
        <w:autoSpaceDN/>
        <w:bidi w:val="0"/>
        <w:spacing w:line="360" w:lineRule="auto"/>
        <w:ind w:firstLine="640" w:firstLineChars="200"/>
        <w:jc w:val="both"/>
        <w:textAlignment w:val="auto"/>
        <w:outlineLvl w:val="9"/>
        <w:rPr>
          <w:rFonts w:hint="eastAsia" w:ascii="仿宋_GB2312" w:hAnsi="仿宋_GB2312" w:eastAsia="仿宋_GB2312" w:cs="仿宋_GB2312"/>
          <w:sz w:val="32"/>
          <w:szCs w:val="32"/>
          <w:lang w:val="en-US" w:eastAsia="zh-CN"/>
        </w:rPr>
      </w:pPr>
      <w:r>
        <w:rPr>
          <w:rFonts w:hint="eastAsia"/>
          <w:lang w:val="en-US" w:eastAsia="zh-CN"/>
        </w:rPr>
        <w:t xml:space="preserve">八、政府性基金预算财政拨款收入支出决算情况说明 </w:t>
      </w:r>
    </w:p>
    <w:p w14:paraId="55EDF835">
      <w:pPr>
        <w:keepNext w:val="0"/>
        <w:keepLines w:val="0"/>
        <w:pageBreakBefore w:val="0"/>
        <w:widowControl w:val="0"/>
        <w:numPr>
          <w:ilvl w:val="0"/>
          <w:numId w:val="0"/>
        </w:numPr>
        <w:kinsoku/>
        <w:wordWrap/>
        <w:overflowPunct/>
        <w:topLinePunct w:val="0"/>
        <w:autoSpaceDE/>
        <w:autoSpaceDN/>
        <w:bidi w:val="0"/>
        <w:spacing w:line="360" w:lineRule="auto"/>
        <w:ind w:leftChars="200"/>
        <w:jc w:val="both"/>
        <w:textAlignment w:val="auto"/>
        <w:outlineLvl w:val="9"/>
        <w:rPr>
          <w:rFonts w:hint="eastAsia"/>
          <w:lang w:val="en-US" w:eastAsia="zh-CN"/>
        </w:rPr>
      </w:pPr>
      <w:r>
        <w:rPr>
          <w:rFonts w:hint="eastAsia"/>
          <w:lang w:val="en-US" w:eastAsia="zh-CN"/>
        </w:rPr>
        <w:t>九、国有资本经营预算财政拨款支出决算情况说明</w:t>
      </w:r>
    </w:p>
    <w:p w14:paraId="7A84CDE0">
      <w:pPr>
        <w:keepNext w:val="0"/>
        <w:keepLines w:val="0"/>
        <w:pageBreakBefore w:val="0"/>
        <w:widowControl w:val="0"/>
        <w:numPr>
          <w:ilvl w:val="0"/>
          <w:numId w:val="0"/>
        </w:numPr>
        <w:kinsoku/>
        <w:wordWrap/>
        <w:overflowPunct/>
        <w:topLinePunct w:val="0"/>
        <w:autoSpaceDE/>
        <w:autoSpaceDN/>
        <w:bidi w:val="0"/>
        <w:spacing w:line="360" w:lineRule="auto"/>
        <w:ind w:leftChars="200"/>
        <w:jc w:val="both"/>
        <w:textAlignment w:val="auto"/>
        <w:outlineLvl w:val="9"/>
        <w:rPr>
          <w:rFonts w:hint="eastAsia"/>
          <w:lang w:val="en-US" w:eastAsia="zh-CN"/>
        </w:rPr>
      </w:pPr>
      <w:r>
        <w:rPr>
          <w:rFonts w:hint="eastAsia"/>
          <w:lang w:val="en-US" w:eastAsia="zh-CN"/>
        </w:rPr>
        <w:t>十、机关运行经费支出说明</w:t>
      </w:r>
    </w:p>
    <w:p w14:paraId="3AB77495">
      <w:pPr>
        <w:keepNext w:val="0"/>
        <w:keepLines w:val="0"/>
        <w:pageBreakBefore w:val="0"/>
        <w:widowControl w:val="0"/>
        <w:numPr>
          <w:ilvl w:val="0"/>
          <w:numId w:val="0"/>
        </w:numPr>
        <w:kinsoku/>
        <w:wordWrap/>
        <w:overflowPunct/>
        <w:topLinePunct w:val="0"/>
        <w:autoSpaceDE/>
        <w:autoSpaceDN/>
        <w:bidi w:val="0"/>
        <w:spacing w:line="360" w:lineRule="auto"/>
        <w:ind w:leftChars="200"/>
        <w:jc w:val="both"/>
        <w:textAlignment w:val="auto"/>
        <w:outlineLvl w:val="9"/>
        <w:rPr>
          <w:rFonts w:hint="eastAsia"/>
          <w:lang w:val="en-US" w:eastAsia="zh-CN"/>
        </w:rPr>
      </w:pPr>
      <w:r>
        <w:rPr>
          <w:rFonts w:hint="eastAsia"/>
          <w:lang w:val="en-US" w:eastAsia="zh-CN"/>
        </w:rPr>
        <w:t>十一、政府采购支出说明</w:t>
      </w:r>
    </w:p>
    <w:p w14:paraId="2E6F9596">
      <w:pPr>
        <w:keepNext w:val="0"/>
        <w:keepLines w:val="0"/>
        <w:pageBreakBefore w:val="0"/>
        <w:widowControl w:val="0"/>
        <w:numPr>
          <w:ilvl w:val="0"/>
          <w:numId w:val="0"/>
        </w:numPr>
        <w:kinsoku/>
        <w:wordWrap/>
        <w:overflowPunct/>
        <w:topLinePunct w:val="0"/>
        <w:autoSpaceDE/>
        <w:autoSpaceDN/>
        <w:bidi w:val="0"/>
        <w:spacing w:line="360" w:lineRule="auto"/>
        <w:ind w:leftChars="200"/>
        <w:jc w:val="both"/>
        <w:textAlignment w:val="auto"/>
        <w:outlineLvl w:val="9"/>
        <w:rPr>
          <w:rFonts w:hint="eastAsia"/>
          <w:lang w:val="en-US" w:eastAsia="zh-CN"/>
        </w:rPr>
      </w:pPr>
      <w:r>
        <w:rPr>
          <w:rFonts w:hint="eastAsia"/>
          <w:lang w:val="en-US" w:eastAsia="zh-CN"/>
        </w:rPr>
        <w:t>十二、国有资产占用情况说明</w:t>
      </w:r>
    </w:p>
    <w:p w14:paraId="2A03E28E">
      <w:pPr>
        <w:keepNext w:val="0"/>
        <w:keepLines w:val="0"/>
        <w:pageBreakBefore w:val="0"/>
        <w:widowControl w:val="0"/>
        <w:kinsoku/>
        <w:wordWrap/>
        <w:overflowPunct/>
        <w:topLinePunct w:val="0"/>
        <w:autoSpaceDE/>
        <w:autoSpaceDN/>
        <w:bidi w:val="0"/>
        <w:spacing w:line="360" w:lineRule="auto"/>
        <w:ind w:firstLine="640" w:firstLineChars="200"/>
        <w:jc w:val="both"/>
        <w:textAlignment w:val="auto"/>
        <w:outlineLvl w:val="9"/>
        <w:rPr>
          <w:rFonts w:hint="eastAsia"/>
          <w:lang w:val="en-US" w:eastAsia="zh-CN"/>
        </w:rPr>
      </w:pPr>
      <w:r>
        <w:rPr>
          <w:rFonts w:hint="eastAsia"/>
          <w:lang w:val="en-US" w:eastAsia="zh-CN"/>
        </w:rPr>
        <w:t>十三、预算绩效情况说明</w:t>
      </w:r>
    </w:p>
    <w:p w14:paraId="077F8DCC">
      <w:pPr>
        <w:keepNext w:val="0"/>
        <w:keepLines w:val="0"/>
        <w:pageBreakBefore w:val="0"/>
        <w:widowControl w:val="0"/>
        <w:kinsoku/>
        <w:wordWrap/>
        <w:overflowPunct/>
        <w:topLinePunct w:val="0"/>
        <w:autoSpaceDE/>
        <w:autoSpaceDN/>
        <w:bidi w:val="0"/>
        <w:spacing w:line="360" w:lineRule="auto"/>
        <w:ind w:firstLine="640" w:firstLineChars="200"/>
        <w:jc w:val="both"/>
        <w:textAlignment w:val="auto"/>
        <w:outlineLvl w:val="9"/>
        <w:rPr>
          <w:rFonts w:hint="eastAsia"/>
          <w:lang w:val="en-US" w:eastAsia="zh-CN"/>
        </w:rPr>
      </w:pPr>
      <w:r>
        <w:rPr>
          <w:rFonts w:hint="eastAsia"/>
          <w:lang w:val="en-US" w:eastAsia="zh-CN"/>
        </w:rPr>
        <w:t>十四、专项支出、转移支付支出情况说明</w:t>
      </w:r>
    </w:p>
    <w:p w14:paraId="25574D8C">
      <w:pPr>
        <w:keepNext w:val="0"/>
        <w:keepLines w:val="0"/>
        <w:pageBreakBefore w:val="0"/>
        <w:widowControl w:val="0"/>
        <w:shd w:val="clear" w:color="auto" w:fill="FFFFFF"/>
        <w:kinsoku/>
        <w:wordWrap/>
        <w:overflowPunct/>
        <w:topLinePunct w:val="0"/>
        <w:autoSpaceDE/>
        <w:autoSpaceDN/>
        <w:bidi w:val="0"/>
        <w:spacing w:before="240" w:after="240" w:line="360" w:lineRule="auto"/>
        <w:ind w:firstLine="640"/>
        <w:jc w:val="both"/>
        <w:textAlignment w:val="auto"/>
        <w:outlineLvl w:val="9"/>
      </w:pPr>
      <w:r>
        <w:rPr>
          <w:rStyle w:val="8"/>
          <w:rFonts w:ascii="黑体" w:hAnsi="黑体" w:eastAsia="黑体" w:cs="黑体"/>
          <w:sz w:val="32"/>
          <w:szCs w:val="32"/>
          <w:rtl w:val="0"/>
        </w:rPr>
        <w:t>第四部分</w:t>
      </w:r>
      <w:r>
        <w:rPr>
          <w:rStyle w:val="8"/>
          <w:rFonts w:ascii="黑体" w:hAnsi="黑体" w:eastAsia="黑体" w:cs="黑体"/>
          <w:sz w:val="32"/>
          <w:szCs w:val="32"/>
          <w:rtl w:val="0"/>
          <w:lang w:val="en-US" w:eastAsia="en-US"/>
        </w:rPr>
        <w:t xml:space="preserve">  </w:t>
      </w:r>
      <w:r>
        <w:rPr>
          <w:rFonts w:hint="eastAsia" w:ascii="黑体" w:hAnsi="黑体" w:eastAsia="黑体" w:cs="黑体"/>
          <w:sz w:val="32"/>
          <w:szCs w:val="32"/>
          <w:lang w:val="en-US" w:eastAsia="zh-CN"/>
        </w:rPr>
        <w:t>其他需要说明的情况</w:t>
      </w:r>
    </w:p>
    <w:p w14:paraId="44CAA330">
      <w:pPr>
        <w:keepNext w:val="0"/>
        <w:keepLines w:val="0"/>
        <w:pageBreakBefore w:val="0"/>
        <w:widowControl w:val="0"/>
        <w:numPr>
          <w:ilvl w:val="0"/>
          <w:numId w:val="0"/>
        </w:numPr>
        <w:kinsoku/>
        <w:wordWrap/>
        <w:overflowPunct/>
        <w:topLinePunct w:val="0"/>
        <w:autoSpaceDE/>
        <w:autoSpaceDN/>
        <w:bidi w:val="0"/>
        <w:spacing w:line="360" w:lineRule="auto"/>
        <w:ind w:firstLine="640" w:firstLineChars="200"/>
        <w:jc w:val="both"/>
        <w:textAlignment w:val="auto"/>
        <w:outlineLvl w:val="9"/>
        <w:rPr>
          <w:rStyle w:val="8"/>
          <w:rFonts w:ascii="黑体" w:hAnsi="黑体" w:eastAsia="黑体" w:cs="黑体"/>
          <w:sz w:val="32"/>
          <w:szCs w:val="32"/>
          <w:rtl w:val="0"/>
        </w:rPr>
      </w:pPr>
      <w:r>
        <w:rPr>
          <w:rStyle w:val="8"/>
          <w:rFonts w:ascii="黑体" w:hAnsi="黑体" w:eastAsia="黑体" w:cs="黑体"/>
          <w:sz w:val="32"/>
          <w:szCs w:val="32"/>
          <w:rtl w:val="0"/>
        </w:rPr>
        <w:t>第五部分</w:t>
      </w:r>
      <w:r>
        <w:rPr>
          <w:rStyle w:val="8"/>
          <w:rFonts w:ascii="黑体" w:hAnsi="黑体" w:eastAsia="黑体" w:cs="黑体"/>
          <w:sz w:val="32"/>
          <w:szCs w:val="32"/>
          <w:rtl w:val="0"/>
          <w:lang w:val="en-US" w:eastAsia="en-US"/>
        </w:rPr>
        <w:t xml:space="preserve">  </w:t>
      </w:r>
      <w:r>
        <w:rPr>
          <w:rStyle w:val="8"/>
          <w:rFonts w:ascii="黑体" w:hAnsi="黑体" w:eastAsia="黑体" w:cs="黑体"/>
          <w:sz w:val="32"/>
          <w:szCs w:val="32"/>
          <w:rtl w:val="0"/>
        </w:rPr>
        <w:t>名词解释</w:t>
      </w:r>
    </w:p>
    <w:p w14:paraId="258D6F7D">
      <w:pPr>
        <w:keepNext w:val="0"/>
        <w:keepLines w:val="0"/>
        <w:pageBreakBefore w:val="0"/>
        <w:widowControl w:val="0"/>
        <w:numPr>
          <w:ilvl w:val="0"/>
          <w:numId w:val="0"/>
        </w:numPr>
        <w:kinsoku/>
        <w:wordWrap/>
        <w:overflowPunct/>
        <w:topLinePunct w:val="0"/>
        <w:bidi w:val="0"/>
        <w:spacing w:line="360" w:lineRule="auto"/>
        <w:ind w:firstLine="640" w:firstLineChars="200"/>
        <w:jc w:val="both"/>
        <w:textAlignment w:val="auto"/>
        <w:outlineLvl w:val="9"/>
        <w:rPr>
          <w:rStyle w:val="8"/>
          <w:rFonts w:hint="eastAsia" w:ascii="黑体" w:hAnsi="黑体" w:eastAsia="黑体" w:cs="黑体"/>
          <w:sz w:val="32"/>
          <w:szCs w:val="32"/>
          <w:rtl w:val="0"/>
          <w:lang w:val="en-US" w:eastAsia="zh-CN"/>
        </w:rPr>
      </w:pPr>
    </w:p>
    <w:p w14:paraId="39B2A2AB">
      <w:pPr>
        <w:numPr>
          <w:ilvl w:val="0"/>
          <w:numId w:val="0"/>
        </w:numPr>
        <w:ind w:firstLine="640" w:firstLineChars="200"/>
        <w:jc w:val="both"/>
        <w:rPr>
          <w:rFonts w:hint="eastAsia" w:ascii="黑体" w:hAnsi="黑体" w:eastAsia="黑体" w:cs="黑体"/>
          <w:sz w:val="32"/>
          <w:szCs w:val="32"/>
          <w:u w:val="none"/>
          <w:lang w:val="en-US" w:eastAsia="zh-CN"/>
        </w:rPr>
      </w:pPr>
    </w:p>
    <w:p w14:paraId="533021DF">
      <w:pPr>
        <w:numPr>
          <w:ilvl w:val="0"/>
          <w:numId w:val="0"/>
        </w:numPr>
        <w:ind w:firstLine="640" w:firstLineChars="200"/>
        <w:jc w:val="both"/>
        <w:rPr>
          <w:rFonts w:hint="eastAsia" w:ascii="黑体" w:hAnsi="黑体" w:eastAsia="黑体" w:cs="黑体"/>
          <w:sz w:val="32"/>
          <w:szCs w:val="32"/>
          <w:u w:val="none"/>
          <w:lang w:val="en-US" w:eastAsia="zh-CN"/>
        </w:rPr>
      </w:pPr>
    </w:p>
    <w:p w14:paraId="511CF810">
      <w:pPr>
        <w:numPr>
          <w:ilvl w:val="0"/>
          <w:numId w:val="0"/>
        </w:numPr>
        <w:jc w:val="both"/>
        <w:rPr>
          <w:rFonts w:hint="eastAsia" w:ascii="黑体" w:hAnsi="黑体" w:eastAsia="黑体" w:cs="黑体"/>
          <w:sz w:val="32"/>
          <w:szCs w:val="32"/>
          <w:u w:val="none"/>
          <w:lang w:val="en-US" w:eastAsia="zh-CN"/>
        </w:rPr>
      </w:pPr>
    </w:p>
    <w:p w14:paraId="637EFE05">
      <w:pPr>
        <w:numPr>
          <w:ilvl w:val="0"/>
          <w:numId w:val="0"/>
        </w:numPr>
        <w:ind w:firstLine="640" w:firstLineChars="200"/>
        <w:jc w:val="both"/>
        <w:rPr>
          <w:rFonts w:hint="eastAsia" w:ascii="黑体" w:hAnsi="黑体" w:eastAsia="黑体" w:cs="黑体"/>
          <w:sz w:val="32"/>
          <w:szCs w:val="32"/>
          <w:u w:val="none"/>
          <w:lang w:val="en-US" w:eastAsia="zh-CN"/>
        </w:rPr>
      </w:pPr>
    </w:p>
    <w:p w14:paraId="2CEC6B91">
      <w:pPr>
        <w:numPr>
          <w:ilvl w:val="0"/>
          <w:numId w:val="0"/>
        </w:numPr>
        <w:ind w:firstLine="640" w:firstLineChars="200"/>
        <w:jc w:val="both"/>
        <w:rPr>
          <w:rFonts w:hint="eastAsia" w:ascii="黑体" w:hAnsi="黑体" w:eastAsia="黑体" w:cs="黑体"/>
          <w:sz w:val="32"/>
          <w:szCs w:val="32"/>
          <w:u w:val="none"/>
          <w:lang w:val="en-US" w:eastAsia="zh-CN"/>
        </w:rPr>
      </w:pPr>
    </w:p>
    <w:p w14:paraId="3779A892">
      <w:pPr>
        <w:numPr>
          <w:ilvl w:val="0"/>
          <w:numId w:val="0"/>
        </w:numPr>
        <w:ind w:firstLine="640" w:firstLineChars="200"/>
        <w:jc w:val="both"/>
        <w:rPr>
          <w:rFonts w:hint="eastAsia" w:ascii="黑体" w:hAnsi="黑体" w:eastAsia="黑体" w:cs="黑体"/>
          <w:sz w:val="32"/>
          <w:szCs w:val="32"/>
          <w:u w:val="none"/>
          <w:lang w:val="en-US" w:eastAsia="zh-CN"/>
        </w:rPr>
      </w:pPr>
      <w:r>
        <w:rPr>
          <w:rFonts w:hint="eastAsia" w:ascii="黑体" w:hAnsi="黑体" w:eastAsia="黑体" w:cs="黑体"/>
          <w:sz w:val="32"/>
          <w:szCs w:val="32"/>
          <w:u w:val="none"/>
          <w:lang w:val="en-US" w:eastAsia="zh-CN"/>
        </w:rPr>
        <w:t>第一部分  赤壁市车埠镇人民政府概况</w:t>
      </w:r>
    </w:p>
    <w:p w14:paraId="500A8290">
      <w:pPr>
        <w:adjustRightInd w:val="0"/>
        <w:snapToGrid w:val="0"/>
        <w:spacing w:line="580" w:lineRule="atLeast"/>
        <w:ind w:firstLine="640" w:firstLineChars="200"/>
        <w:rPr>
          <w:rFonts w:hint="eastAsia" w:ascii="黑体" w:hAnsi="黑体" w:eastAsia="黑体" w:cs="黑体"/>
          <w:bCs/>
          <w:sz w:val="32"/>
          <w:szCs w:val="32"/>
          <w:highlight w:val="none"/>
          <w:u w:val="none"/>
          <w:lang w:val="en-US" w:eastAsia="zh-CN"/>
        </w:rPr>
      </w:pPr>
      <w:r>
        <w:rPr>
          <w:rFonts w:hint="eastAsia" w:ascii="黑体" w:hAnsi="黑体" w:eastAsia="黑体" w:cs="黑体"/>
          <w:bCs/>
          <w:sz w:val="32"/>
          <w:szCs w:val="32"/>
          <w:highlight w:val="none"/>
          <w:u w:val="none"/>
          <w:lang w:val="en-US" w:eastAsia="zh-CN"/>
        </w:rPr>
        <w:t>一、部门主要职责</w:t>
      </w:r>
    </w:p>
    <w:p w14:paraId="06354C28">
      <w:pPr>
        <w:keepNext w:val="0"/>
        <w:keepLines w:val="0"/>
        <w:pageBreakBefore w:val="0"/>
        <w:widowControl w:val="0"/>
        <w:numPr>
          <w:ilvl w:val="0"/>
          <w:numId w:val="0"/>
        </w:numPr>
        <w:kinsoku/>
        <w:wordWrap/>
        <w:overflowPunct/>
        <w:topLinePunct w:val="0"/>
        <w:autoSpaceDE/>
        <w:autoSpaceDN/>
        <w:bidi w:val="0"/>
        <w:spacing w:line="360" w:lineRule="auto"/>
        <w:ind w:firstLine="640" w:firstLineChars="200"/>
        <w:jc w:val="both"/>
        <w:textAlignment w:val="auto"/>
        <w:outlineLvl w:val="9"/>
        <w:rPr>
          <w:rFonts w:hint="eastAsia" w:ascii="Times New Roman" w:hAnsi="Times New Roman" w:cs="Times New Roman"/>
          <w:lang w:val="en-US" w:eastAsia="zh-CN"/>
        </w:rPr>
      </w:pPr>
      <w:r>
        <w:rPr>
          <w:rFonts w:hint="eastAsia" w:ascii="Times New Roman" w:hAnsi="Times New Roman" w:cs="Times New Roman"/>
          <w:lang w:val="en-US" w:eastAsia="zh-CN"/>
        </w:rPr>
        <w:t>落实国家政策，严格依法行政，发挥经济管理职能，加强政策引导，制定发展规划，服务市场主体和营造发展环境，搞好市场监管，大力促进社会事业发展，发展区域经济、文化和社会事业，提供公共服务，维护社会稳定，构建社会主义和谐社会。</w:t>
      </w:r>
    </w:p>
    <w:p w14:paraId="2612B06E">
      <w:pPr>
        <w:pStyle w:val="6"/>
        <w:keepNext w:val="0"/>
        <w:keepLines w:val="0"/>
        <w:widowControl/>
        <w:suppressLineNumbers w:val="0"/>
        <w:ind w:left="0" w:firstLine="420"/>
        <w:jc w:val="left"/>
        <w:rPr>
          <w:rFonts w:hint="eastAsia" w:ascii="仿宋_GB2312" w:hAnsi="宋体" w:eastAsia="仿宋_GB2312"/>
          <w:bCs/>
          <w:sz w:val="32"/>
          <w:szCs w:val="32"/>
          <w:highlight w:val="none"/>
          <w:lang w:val="en-US" w:eastAsia="zh-CN"/>
        </w:rPr>
      </w:pPr>
      <w:r>
        <w:rPr>
          <w:rFonts w:hint="eastAsia" w:ascii="黑体" w:hAnsi="黑体" w:eastAsia="黑体" w:cs="黑体"/>
          <w:bCs/>
          <w:sz w:val="32"/>
          <w:szCs w:val="32"/>
          <w:highlight w:val="none"/>
          <w:lang w:val="en-US" w:eastAsia="zh-CN"/>
        </w:rPr>
        <w:t>二、机构设置情况</w:t>
      </w:r>
    </w:p>
    <w:p w14:paraId="42E2FB4B">
      <w:pPr>
        <w:keepNext w:val="0"/>
        <w:keepLines w:val="0"/>
        <w:pageBreakBefore w:val="0"/>
        <w:widowControl w:val="0"/>
        <w:numPr>
          <w:ilvl w:val="0"/>
          <w:numId w:val="0"/>
        </w:numPr>
        <w:kinsoku/>
        <w:wordWrap/>
        <w:overflowPunct/>
        <w:topLinePunct w:val="0"/>
        <w:autoSpaceDE/>
        <w:autoSpaceDN/>
        <w:bidi w:val="0"/>
        <w:spacing w:line="360" w:lineRule="auto"/>
        <w:ind w:firstLine="640" w:firstLineChars="200"/>
        <w:jc w:val="both"/>
        <w:textAlignment w:val="auto"/>
        <w:outlineLvl w:val="9"/>
        <w:rPr>
          <w:rFonts w:hint="eastAsia" w:ascii="Times New Roman" w:hAnsi="Times New Roman" w:cs="Times New Roman"/>
          <w:lang w:val="en-US" w:eastAsia="zh-CN"/>
        </w:rPr>
      </w:pPr>
      <w:r>
        <w:rPr>
          <w:rFonts w:hint="eastAsia" w:ascii="Times New Roman" w:hAnsi="Times New Roman" w:cs="Times New Roman"/>
          <w:lang w:val="en-US" w:eastAsia="zh-CN"/>
        </w:rPr>
        <w:t>从决算单位构成看，本部门决算为本镇政府机关决算，无下属二级预算单位。内设机构有：</w:t>
      </w:r>
    </w:p>
    <w:p w14:paraId="4540CC05">
      <w:pPr>
        <w:keepNext w:val="0"/>
        <w:keepLines w:val="0"/>
        <w:pageBreakBefore w:val="0"/>
        <w:widowControl w:val="0"/>
        <w:numPr>
          <w:ilvl w:val="0"/>
          <w:numId w:val="0"/>
        </w:numPr>
        <w:kinsoku/>
        <w:wordWrap/>
        <w:overflowPunct/>
        <w:topLinePunct w:val="0"/>
        <w:autoSpaceDE/>
        <w:autoSpaceDN/>
        <w:bidi w:val="0"/>
        <w:spacing w:line="360" w:lineRule="auto"/>
        <w:ind w:firstLine="640" w:firstLineChars="200"/>
        <w:jc w:val="both"/>
        <w:textAlignment w:val="auto"/>
        <w:outlineLvl w:val="9"/>
        <w:rPr>
          <w:rFonts w:hint="eastAsia" w:ascii="Times New Roman" w:hAnsi="Times New Roman" w:cs="Times New Roman"/>
          <w:lang w:val="en-US" w:eastAsia="zh-CN"/>
        </w:rPr>
      </w:pPr>
      <w:r>
        <w:rPr>
          <w:rFonts w:hint="eastAsia" w:ascii="Times New Roman" w:hAnsi="Times New Roman" w:cs="Times New Roman"/>
          <w:lang w:val="en-US" w:eastAsia="zh-CN"/>
        </w:rPr>
        <w:t>（1）党政综合办公室：负责乡镇党委、人大、政府、政协、纪检监察和综治维稳日常工作以及机关信访、接待、信息、发文办会、后勤服务等工作。</w:t>
      </w:r>
    </w:p>
    <w:p w14:paraId="600DC1CE">
      <w:pPr>
        <w:keepNext w:val="0"/>
        <w:keepLines w:val="0"/>
        <w:pageBreakBefore w:val="0"/>
        <w:widowControl w:val="0"/>
        <w:numPr>
          <w:ilvl w:val="0"/>
          <w:numId w:val="0"/>
        </w:numPr>
        <w:kinsoku/>
        <w:wordWrap/>
        <w:overflowPunct/>
        <w:topLinePunct w:val="0"/>
        <w:autoSpaceDE/>
        <w:autoSpaceDN/>
        <w:bidi w:val="0"/>
        <w:spacing w:line="360" w:lineRule="auto"/>
        <w:ind w:firstLine="640" w:firstLineChars="200"/>
        <w:jc w:val="both"/>
        <w:textAlignment w:val="auto"/>
        <w:outlineLvl w:val="9"/>
        <w:rPr>
          <w:rFonts w:hint="eastAsia" w:ascii="Times New Roman" w:hAnsi="Times New Roman" w:cs="Times New Roman"/>
          <w:lang w:val="en-US" w:eastAsia="zh-CN"/>
        </w:rPr>
      </w:pPr>
      <w:r>
        <w:rPr>
          <w:rFonts w:hint="eastAsia" w:ascii="Times New Roman" w:hAnsi="Times New Roman" w:cs="Times New Roman"/>
          <w:lang w:val="en-US" w:eastAsia="zh-CN"/>
        </w:rPr>
        <w:t xml:space="preserve">（2）经济发展办公室:负责农业、工贸、交通、财政税收、乡镇民营企业、安全生产监督、国土资源、村镇规划建设、环境保护、农村土地承包、农民负担监督、农村集体资产财务管理等工作。 </w:t>
      </w:r>
    </w:p>
    <w:p w14:paraId="71A9C97D">
      <w:pPr>
        <w:keepNext w:val="0"/>
        <w:keepLines w:val="0"/>
        <w:pageBreakBefore w:val="0"/>
        <w:widowControl w:val="0"/>
        <w:numPr>
          <w:ilvl w:val="0"/>
          <w:numId w:val="0"/>
        </w:numPr>
        <w:kinsoku/>
        <w:wordWrap/>
        <w:overflowPunct/>
        <w:topLinePunct w:val="0"/>
        <w:autoSpaceDE/>
        <w:autoSpaceDN/>
        <w:bidi w:val="0"/>
        <w:spacing w:line="360" w:lineRule="auto"/>
        <w:ind w:firstLine="640" w:firstLineChars="200"/>
        <w:jc w:val="both"/>
        <w:textAlignment w:val="auto"/>
        <w:outlineLvl w:val="9"/>
        <w:rPr>
          <w:rFonts w:hint="default" w:ascii="Times New Roman" w:hAnsi="Times New Roman" w:cs="Times New Roman"/>
          <w:lang w:val="en-US" w:eastAsia="zh-CN"/>
        </w:rPr>
      </w:pPr>
      <w:r>
        <w:rPr>
          <w:rFonts w:hint="eastAsia" w:ascii="Times New Roman" w:hAnsi="Times New Roman" w:cs="Times New Roman"/>
          <w:lang w:val="en-US" w:eastAsia="zh-CN"/>
        </w:rPr>
        <w:t>（3）社会事务办公室:负责教科文卫、广电网络、民政、社会保障、劳动就业、基层政权建设、食品药品监督管理等工作。</w:t>
      </w:r>
    </w:p>
    <w:p w14:paraId="440A4AAB">
      <w:pPr>
        <w:ind w:firstLine="640"/>
        <w:jc w:val="both"/>
        <w:rPr>
          <w:rFonts w:hint="eastAsia" w:ascii="黑体" w:hAnsi="黑体" w:eastAsia="黑体" w:cs="黑体"/>
          <w:sz w:val="32"/>
          <w:szCs w:val="32"/>
          <w:lang w:eastAsia="zh-CN"/>
        </w:rPr>
      </w:pPr>
      <w:r>
        <w:rPr>
          <w:rFonts w:hint="eastAsia" w:ascii="黑体" w:hAnsi="黑体" w:eastAsia="黑体" w:cs="黑体"/>
          <w:sz w:val="32"/>
          <w:szCs w:val="32"/>
          <w:lang w:val="en-US" w:eastAsia="zh-CN"/>
        </w:rPr>
        <w:t>第二部分  2022年度</w:t>
      </w:r>
      <w:r>
        <w:rPr>
          <w:rFonts w:hint="eastAsia" w:ascii="黑体" w:hAnsi="黑体" w:eastAsia="黑体" w:cs="黑体"/>
          <w:sz w:val="32"/>
          <w:szCs w:val="32"/>
        </w:rPr>
        <w:t>部门决算</w:t>
      </w:r>
      <w:r>
        <w:rPr>
          <w:rFonts w:hint="eastAsia" w:ascii="黑体" w:hAnsi="黑体" w:eastAsia="黑体" w:cs="黑体"/>
          <w:sz w:val="32"/>
          <w:szCs w:val="32"/>
          <w:lang w:eastAsia="zh-CN"/>
        </w:rPr>
        <w:t>表</w:t>
      </w:r>
    </w:p>
    <w:p w14:paraId="3CCCDB70">
      <w:pPr>
        <w:adjustRightInd w:val="0"/>
        <w:snapToGrid w:val="0"/>
        <w:spacing w:line="580" w:lineRule="atLeast"/>
        <w:ind w:right="-781" w:rightChars="-244" w:firstLine="640" w:firstLineChars="200"/>
        <w:rPr>
          <w:rFonts w:hint="eastAsia" w:ascii="黑体" w:hAnsi="黑体" w:eastAsia="黑体" w:cs="黑体"/>
          <w:bCs/>
          <w:sz w:val="32"/>
          <w:szCs w:val="32"/>
          <w:highlight w:val="none"/>
        </w:rPr>
      </w:pPr>
      <w:r>
        <w:rPr>
          <w:rFonts w:hint="eastAsia" w:ascii="黑体" w:hAnsi="黑体" w:eastAsia="黑体" w:cs="黑体"/>
          <w:bCs/>
          <w:sz w:val="32"/>
          <w:szCs w:val="32"/>
          <w:highlight w:val="none"/>
        </w:rPr>
        <w:t>一、收入支出决算总表</w:t>
      </w:r>
    </w:p>
    <w:p w14:paraId="0AA24B2E">
      <w:pPr>
        <w:adjustRightInd w:val="0"/>
        <w:snapToGrid w:val="0"/>
        <w:spacing w:line="580" w:lineRule="atLeast"/>
        <w:ind w:right="-781" w:rightChars="-244" w:firstLine="640" w:firstLineChars="200"/>
      </w:pPr>
      <w:r>
        <w:drawing>
          <wp:inline distT="0" distB="0" distL="114300" distR="114300">
            <wp:extent cx="5269230" cy="3724275"/>
            <wp:effectExtent l="0" t="0" r="762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a:stretch>
                      <a:fillRect/>
                    </a:stretch>
                  </pic:blipFill>
                  <pic:spPr>
                    <a:xfrm>
                      <a:off x="0" y="0"/>
                      <a:ext cx="5269230" cy="3724275"/>
                    </a:xfrm>
                    <a:prstGeom prst="rect">
                      <a:avLst/>
                    </a:prstGeom>
                    <a:noFill/>
                    <a:ln>
                      <a:noFill/>
                    </a:ln>
                  </pic:spPr>
                </pic:pic>
              </a:graphicData>
            </a:graphic>
          </wp:inline>
        </w:drawing>
      </w:r>
    </w:p>
    <w:p w14:paraId="337F1FE7">
      <w:pPr>
        <w:adjustRightInd w:val="0"/>
        <w:snapToGrid w:val="0"/>
        <w:spacing w:line="580" w:lineRule="atLeast"/>
        <w:ind w:right="-781" w:rightChars="-244" w:firstLine="640" w:firstLineChars="200"/>
      </w:pPr>
    </w:p>
    <w:p w14:paraId="4CC36A98">
      <w:pPr>
        <w:adjustRightInd w:val="0"/>
        <w:snapToGrid w:val="0"/>
        <w:spacing w:line="580" w:lineRule="atLeast"/>
        <w:ind w:right="-781" w:rightChars="-244" w:firstLine="640" w:firstLineChars="200"/>
      </w:pPr>
    </w:p>
    <w:p w14:paraId="52C9CE0C">
      <w:pPr>
        <w:adjustRightInd w:val="0"/>
        <w:snapToGrid w:val="0"/>
        <w:spacing w:line="580" w:lineRule="atLeast"/>
        <w:ind w:right="-781" w:rightChars="-244" w:firstLine="640" w:firstLineChars="200"/>
      </w:pPr>
    </w:p>
    <w:p w14:paraId="30FBE1C8">
      <w:pPr>
        <w:adjustRightInd w:val="0"/>
        <w:snapToGrid w:val="0"/>
        <w:spacing w:line="580" w:lineRule="atLeast"/>
        <w:ind w:right="-781" w:rightChars="-244" w:firstLine="640" w:firstLineChars="200"/>
      </w:pPr>
    </w:p>
    <w:p w14:paraId="4965DBC3">
      <w:pPr>
        <w:adjustRightInd w:val="0"/>
        <w:snapToGrid w:val="0"/>
        <w:spacing w:line="580" w:lineRule="atLeast"/>
        <w:ind w:right="-781" w:rightChars="-244" w:firstLine="640" w:firstLineChars="200"/>
        <w:rPr>
          <w:rFonts w:hint="eastAsia"/>
        </w:rPr>
      </w:pPr>
    </w:p>
    <w:p w14:paraId="611071DF">
      <w:pPr>
        <w:numPr>
          <w:ilvl w:val="0"/>
          <w:numId w:val="1"/>
        </w:numPr>
        <w:adjustRightInd w:val="0"/>
        <w:snapToGrid w:val="0"/>
        <w:spacing w:line="580" w:lineRule="atLeast"/>
        <w:ind w:firstLine="640" w:firstLineChars="200"/>
        <w:rPr>
          <w:rFonts w:hint="eastAsia" w:ascii="黑体" w:hAnsi="黑体" w:eastAsia="黑体" w:cs="黑体"/>
          <w:bCs/>
          <w:sz w:val="32"/>
          <w:szCs w:val="32"/>
          <w:highlight w:val="none"/>
        </w:rPr>
      </w:pPr>
      <w:r>
        <w:rPr>
          <w:rFonts w:hint="eastAsia" w:ascii="黑体" w:hAnsi="黑体" w:eastAsia="黑体" w:cs="黑体"/>
          <w:bCs/>
          <w:sz w:val="32"/>
          <w:szCs w:val="32"/>
          <w:highlight w:val="none"/>
        </w:rPr>
        <w:t>收入决算表</w:t>
      </w:r>
    </w:p>
    <w:p w14:paraId="049EA1B6">
      <w:pPr>
        <w:numPr>
          <w:ilvl w:val="0"/>
          <w:numId w:val="0"/>
        </w:numPr>
        <w:adjustRightInd w:val="0"/>
        <w:snapToGrid w:val="0"/>
        <w:spacing w:line="580" w:lineRule="atLeast"/>
        <w:jc w:val="center"/>
        <w:rPr>
          <w:rFonts w:hint="eastAsia" w:ascii="黑体" w:hAnsi="黑体" w:eastAsia="黑体" w:cs="黑体"/>
          <w:bCs/>
          <w:sz w:val="32"/>
          <w:szCs w:val="32"/>
          <w:highlight w:val="none"/>
        </w:rPr>
      </w:pPr>
      <w:r>
        <w:drawing>
          <wp:inline distT="0" distB="0" distL="114300" distR="114300">
            <wp:extent cx="5165090" cy="3171825"/>
            <wp:effectExtent l="0" t="0" r="1651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
                    <a:stretch>
                      <a:fillRect/>
                    </a:stretch>
                  </pic:blipFill>
                  <pic:spPr>
                    <a:xfrm>
                      <a:off x="0" y="0"/>
                      <a:ext cx="5165090" cy="3171825"/>
                    </a:xfrm>
                    <a:prstGeom prst="rect">
                      <a:avLst/>
                    </a:prstGeom>
                    <a:noFill/>
                    <a:ln>
                      <a:noFill/>
                    </a:ln>
                  </pic:spPr>
                </pic:pic>
              </a:graphicData>
            </a:graphic>
          </wp:inline>
        </w:drawing>
      </w:r>
    </w:p>
    <w:p w14:paraId="4BACE607">
      <w:pPr>
        <w:numPr>
          <w:ilvl w:val="0"/>
          <w:numId w:val="1"/>
        </w:numPr>
        <w:adjustRightInd w:val="0"/>
        <w:snapToGrid w:val="0"/>
        <w:spacing w:line="580" w:lineRule="atLeast"/>
        <w:ind w:left="0" w:leftChars="0" w:firstLine="640" w:firstLineChars="200"/>
        <w:rPr>
          <w:rFonts w:hint="eastAsia" w:ascii="黑体" w:hAnsi="黑体" w:eastAsia="黑体" w:cs="黑体"/>
          <w:bCs/>
          <w:sz w:val="32"/>
          <w:szCs w:val="32"/>
          <w:highlight w:val="none"/>
        </w:rPr>
      </w:pPr>
      <w:r>
        <w:rPr>
          <w:rFonts w:hint="eastAsia" w:ascii="黑体" w:hAnsi="黑体" w:eastAsia="黑体" w:cs="黑体"/>
          <w:bCs/>
          <w:sz w:val="32"/>
          <w:szCs w:val="32"/>
          <w:highlight w:val="none"/>
        </w:rPr>
        <w:t>支出决算表</w:t>
      </w:r>
    </w:p>
    <w:p w14:paraId="66E04BFF">
      <w:pPr>
        <w:keepNext w:val="0"/>
        <w:keepLines w:val="0"/>
        <w:pageBreakBefore w:val="0"/>
        <w:widowControl w:val="0"/>
        <w:numPr>
          <w:ilvl w:val="0"/>
          <w:numId w:val="0"/>
        </w:numPr>
        <w:kinsoku/>
        <w:wordWrap/>
        <w:overflowPunct/>
        <w:topLinePunct w:val="0"/>
        <w:autoSpaceDE/>
        <w:autoSpaceDN/>
        <w:bidi w:val="0"/>
        <w:adjustRightInd w:val="0"/>
        <w:snapToGrid w:val="0"/>
        <w:spacing w:line="580" w:lineRule="atLeast"/>
        <w:ind w:leftChars="0"/>
        <w:textAlignment w:val="auto"/>
      </w:pPr>
      <w:r>
        <w:drawing>
          <wp:inline distT="0" distB="0" distL="114300" distR="114300">
            <wp:extent cx="5257800" cy="2998470"/>
            <wp:effectExtent l="0" t="0" r="0" b="1143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7"/>
                    <a:stretch>
                      <a:fillRect/>
                    </a:stretch>
                  </pic:blipFill>
                  <pic:spPr>
                    <a:xfrm>
                      <a:off x="0" y="0"/>
                      <a:ext cx="5257800" cy="2998470"/>
                    </a:xfrm>
                    <a:prstGeom prst="rect">
                      <a:avLst/>
                    </a:prstGeom>
                    <a:noFill/>
                    <a:ln>
                      <a:noFill/>
                    </a:ln>
                  </pic:spPr>
                </pic:pic>
              </a:graphicData>
            </a:graphic>
          </wp:inline>
        </w:drawing>
      </w:r>
    </w:p>
    <w:p w14:paraId="0C9CFC09">
      <w:pPr>
        <w:numPr>
          <w:ilvl w:val="0"/>
          <w:numId w:val="0"/>
        </w:numPr>
        <w:adjustRightInd w:val="0"/>
        <w:snapToGrid w:val="0"/>
        <w:spacing w:line="580" w:lineRule="atLeast"/>
        <w:ind w:leftChars="200"/>
      </w:pPr>
    </w:p>
    <w:p w14:paraId="208D9D02">
      <w:pPr>
        <w:numPr>
          <w:ilvl w:val="0"/>
          <w:numId w:val="0"/>
        </w:numPr>
        <w:adjustRightInd w:val="0"/>
        <w:snapToGrid w:val="0"/>
        <w:spacing w:line="580" w:lineRule="atLeast"/>
        <w:ind w:leftChars="200"/>
      </w:pPr>
    </w:p>
    <w:p w14:paraId="436C52EF">
      <w:pPr>
        <w:numPr>
          <w:ilvl w:val="0"/>
          <w:numId w:val="0"/>
        </w:numPr>
        <w:adjustRightInd w:val="0"/>
        <w:snapToGrid w:val="0"/>
        <w:spacing w:line="580" w:lineRule="atLeast"/>
        <w:ind w:leftChars="200"/>
      </w:pPr>
    </w:p>
    <w:p w14:paraId="40C4ADDE">
      <w:pPr>
        <w:numPr>
          <w:ilvl w:val="0"/>
          <w:numId w:val="0"/>
        </w:numPr>
        <w:adjustRightInd w:val="0"/>
        <w:snapToGrid w:val="0"/>
        <w:spacing w:line="580" w:lineRule="atLeast"/>
        <w:ind w:leftChars="200"/>
      </w:pPr>
    </w:p>
    <w:p w14:paraId="71ACD9DA">
      <w:pPr>
        <w:numPr>
          <w:ilvl w:val="0"/>
          <w:numId w:val="0"/>
        </w:numPr>
        <w:adjustRightInd w:val="0"/>
        <w:snapToGrid w:val="0"/>
        <w:spacing w:line="580" w:lineRule="atLeast"/>
        <w:ind w:leftChars="200"/>
      </w:pPr>
    </w:p>
    <w:p w14:paraId="49A0D1AC">
      <w:pPr>
        <w:numPr>
          <w:ilvl w:val="0"/>
          <w:numId w:val="0"/>
        </w:numPr>
        <w:adjustRightInd w:val="0"/>
        <w:snapToGrid w:val="0"/>
        <w:spacing w:line="580" w:lineRule="atLeast"/>
        <w:ind w:leftChars="200"/>
        <w:rPr>
          <w:rFonts w:hint="eastAsia"/>
        </w:rPr>
      </w:pPr>
    </w:p>
    <w:p w14:paraId="5C3B2993">
      <w:pPr>
        <w:numPr>
          <w:ilvl w:val="0"/>
          <w:numId w:val="1"/>
        </w:numPr>
        <w:adjustRightInd w:val="0"/>
        <w:snapToGrid w:val="0"/>
        <w:spacing w:line="580" w:lineRule="atLeast"/>
        <w:ind w:left="0" w:leftChars="0" w:firstLine="640" w:firstLineChars="200"/>
        <w:rPr>
          <w:rFonts w:hint="eastAsia" w:ascii="黑体" w:hAnsi="黑体" w:eastAsia="黑体" w:cs="黑体"/>
          <w:bCs/>
          <w:sz w:val="32"/>
          <w:szCs w:val="32"/>
          <w:highlight w:val="none"/>
        </w:rPr>
      </w:pPr>
      <w:r>
        <w:rPr>
          <w:rFonts w:hint="eastAsia" w:ascii="黑体" w:hAnsi="黑体" w:eastAsia="黑体" w:cs="黑体"/>
          <w:bCs/>
          <w:sz w:val="32"/>
          <w:szCs w:val="32"/>
          <w:highlight w:val="none"/>
        </w:rPr>
        <w:t>财政拨款收入支出决算总表</w:t>
      </w:r>
    </w:p>
    <w:p w14:paraId="0AEA0B8F">
      <w:pPr>
        <w:keepNext w:val="0"/>
        <w:keepLines w:val="0"/>
        <w:pageBreakBefore w:val="0"/>
        <w:widowControl w:val="0"/>
        <w:numPr>
          <w:ilvl w:val="0"/>
          <w:numId w:val="0"/>
        </w:numPr>
        <w:kinsoku/>
        <w:wordWrap/>
        <w:overflowPunct/>
        <w:topLinePunct w:val="0"/>
        <w:autoSpaceDE/>
        <w:autoSpaceDN/>
        <w:bidi w:val="0"/>
        <w:adjustRightInd w:val="0"/>
        <w:snapToGrid w:val="0"/>
        <w:spacing w:line="580" w:lineRule="atLeast"/>
        <w:ind w:leftChars="0"/>
        <w:textAlignment w:val="auto"/>
        <w:rPr>
          <w:rFonts w:hint="eastAsia" w:ascii="黑体" w:hAnsi="黑体" w:eastAsia="黑体" w:cs="黑体"/>
          <w:bCs/>
          <w:sz w:val="32"/>
          <w:szCs w:val="32"/>
          <w:highlight w:val="none"/>
        </w:rPr>
      </w:pPr>
      <w:r>
        <w:drawing>
          <wp:inline distT="0" distB="0" distL="114300" distR="114300">
            <wp:extent cx="5257800" cy="3716020"/>
            <wp:effectExtent l="0" t="0" r="0" b="1778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8"/>
                    <a:stretch>
                      <a:fillRect/>
                    </a:stretch>
                  </pic:blipFill>
                  <pic:spPr>
                    <a:xfrm>
                      <a:off x="0" y="0"/>
                      <a:ext cx="5257800" cy="3716020"/>
                    </a:xfrm>
                    <a:prstGeom prst="rect">
                      <a:avLst/>
                    </a:prstGeom>
                    <a:noFill/>
                    <a:ln>
                      <a:noFill/>
                    </a:ln>
                  </pic:spPr>
                </pic:pic>
              </a:graphicData>
            </a:graphic>
          </wp:inline>
        </w:drawing>
      </w:r>
    </w:p>
    <w:p w14:paraId="23DDB18D">
      <w:pPr>
        <w:numPr>
          <w:ilvl w:val="0"/>
          <w:numId w:val="1"/>
        </w:numPr>
        <w:adjustRightInd w:val="0"/>
        <w:snapToGrid w:val="0"/>
        <w:spacing w:line="580" w:lineRule="atLeast"/>
        <w:ind w:left="0" w:leftChars="0" w:firstLine="640" w:firstLineChars="200"/>
        <w:rPr>
          <w:rFonts w:hint="eastAsia" w:ascii="黑体" w:hAnsi="黑体" w:eastAsia="黑体" w:cs="黑体"/>
          <w:bCs/>
          <w:sz w:val="32"/>
          <w:szCs w:val="32"/>
          <w:highlight w:val="none"/>
        </w:rPr>
      </w:pPr>
      <w:r>
        <w:rPr>
          <w:rFonts w:hint="eastAsia" w:ascii="黑体" w:hAnsi="黑体" w:eastAsia="黑体" w:cs="黑体"/>
          <w:bCs/>
          <w:sz w:val="32"/>
          <w:szCs w:val="32"/>
          <w:highlight w:val="none"/>
        </w:rPr>
        <w:t>一般公共预算财政拨款支出决算表</w:t>
      </w:r>
    </w:p>
    <w:p w14:paraId="721580EE">
      <w:pPr>
        <w:keepNext w:val="0"/>
        <w:keepLines w:val="0"/>
        <w:pageBreakBefore w:val="0"/>
        <w:widowControl w:val="0"/>
        <w:numPr>
          <w:ilvl w:val="0"/>
          <w:numId w:val="0"/>
        </w:numPr>
        <w:kinsoku/>
        <w:wordWrap/>
        <w:overflowPunct/>
        <w:topLinePunct w:val="0"/>
        <w:autoSpaceDE/>
        <w:autoSpaceDN/>
        <w:bidi w:val="0"/>
        <w:adjustRightInd w:val="0"/>
        <w:snapToGrid w:val="0"/>
        <w:spacing w:line="580" w:lineRule="atLeast"/>
        <w:ind w:leftChars="0"/>
        <w:textAlignment w:val="auto"/>
      </w:pPr>
      <w:r>
        <w:drawing>
          <wp:inline distT="0" distB="0" distL="114300" distR="114300">
            <wp:extent cx="5269230" cy="3321685"/>
            <wp:effectExtent l="0" t="0" r="7620" b="1206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9"/>
                    <a:stretch>
                      <a:fillRect/>
                    </a:stretch>
                  </pic:blipFill>
                  <pic:spPr>
                    <a:xfrm>
                      <a:off x="0" y="0"/>
                      <a:ext cx="5269230" cy="3321685"/>
                    </a:xfrm>
                    <a:prstGeom prst="rect">
                      <a:avLst/>
                    </a:prstGeom>
                    <a:noFill/>
                    <a:ln>
                      <a:noFill/>
                    </a:ln>
                  </pic:spPr>
                </pic:pic>
              </a:graphicData>
            </a:graphic>
          </wp:inline>
        </w:drawing>
      </w:r>
    </w:p>
    <w:p w14:paraId="425603A3">
      <w:pPr>
        <w:numPr>
          <w:ilvl w:val="0"/>
          <w:numId w:val="0"/>
        </w:numPr>
        <w:adjustRightInd w:val="0"/>
        <w:snapToGrid w:val="0"/>
        <w:spacing w:line="580" w:lineRule="atLeast"/>
        <w:ind w:leftChars="200"/>
      </w:pPr>
    </w:p>
    <w:p w14:paraId="17F41C60">
      <w:pPr>
        <w:numPr>
          <w:ilvl w:val="0"/>
          <w:numId w:val="0"/>
        </w:numPr>
        <w:adjustRightInd w:val="0"/>
        <w:snapToGrid w:val="0"/>
        <w:spacing w:line="580" w:lineRule="atLeast"/>
        <w:ind w:leftChars="200"/>
        <w:rPr>
          <w:rFonts w:hint="eastAsia"/>
        </w:rPr>
      </w:pPr>
    </w:p>
    <w:p w14:paraId="6E607F0D">
      <w:pPr>
        <w:numPr>
          <w:ilvl w:val="0"/>
          <w:numId w:val="1"/>
        </w:numPr>
        <w:adjustRightInd w:val="0"/>
        <w:snapToGrid w:val="0"/>
        <w:spacing w:line="580" w:lineRule="atLeast"/>
        <w:ind w:left="0" w:leftChars="0" w:firstLine="640" w:firstLineChars="200"/>
        <w:rPr>
          <w:rFonts w:hint="eastAsia" w:ascii="黑体" w:hAnsi="黑体" w:eastAsia="黑体" w:cs="黑体"/>
          <w:bCs/>
          <w:sz w:val="32"/>
          <w:szCs w:val="32"/>
          <w:highlight w:val="none"/>
        </w:rPr>
      </w:pPr>
      <w:r>
        <w:rPr>
          <w:rFonts w:hint="eastAsia" w:ascii="黑体" w:hAnsi="黑体" w:eastAsia="黑体" w:cs="黑体"/>
          <w:bCs/>
          <w:sz w:val="32"/>
          <w:szCs w:val="32"/>
          <w:highlight w:val="none"/>
        </w:rPr>
        <w:t>一般公共预算财政拨款基本支出决算</w:t>
      </w:r>
      <w:r>
        <w:rPr>
          <w:rFonts w:hint="eastAsia" w:ascii="黑体" w:hAnsi="黑体" w:eastAsia="黑体" w:cs="黑体"/>
          <w:bCs/>
          <w:sz w:val="32"/>
          <w:szCs w:val="32"/>
          <w:highlight w:val="none"/>
          <w:lang w:eastAsia="zh-CN"/>
        </w:rPr>
        <w:t>明细</w:t>
      </w:r>
      <w:r>
        <w:rPr>
          <w:rFonts w:hint="eastAsia" w:ascii="黑体" w:hAnsi="黑体" w:eastAsia="黑体" w:cs="黑体"/>
          <w:bCs/>
          <w:sz w:val="32"/>
          <w:szCs w:val="32"/>
          <w:highlight w:val="none"/>
        </w:rPr>
        <w:t>表</w:t>
      </w:r>
    </w:p>
    <w:p w14:paraId="408D6F9A">
      <w:pPr>
        <w:keepNext w:val="0"/>
        <w:keepLines w:val="0"/>
        <w:pageBreakBefore w:val="0"/>
        <w:widowControl w:val="0"/>
        <w:numPr>
          <w:ilvl w:val="0"/>
          <w:numId w:val="0"/>
        </w:numPr>
        <w:kinsoku/>
        <w:wordWrap/>
        <w:overflowPunct/>
        <w:topLinePunct w:val="0"/>
        <w:autoSpaceDE/>
        <w:autoSpaceDN/>
        <w:bidi w:val="0"/>
        <w:adjustRightInd w:val="0"/>
        <w:snapToGrid w:val="0"/>
        <w:spacing w:line="580" w:lineRule="atLeast"/>
        <w:ind w:leftChars="0"/>
        <w:textAlignment w:val="auto"/>
        <w:rPr>
          <w:rFonts w:hint="eastAsia" w:ascii="黑体" w:hAnsi="黑体" w:eastAsia="黑体" w:cs="黑体"/>
          <w:bCs/>
          <w:sz w:val="32"/>
          <w:szCs w:val="32"/>
          <w:highlight w:val="none"/>
        </w:rPr>
      </w:pPr>
      <w:r>
        <w:drawing>
          <wp:inline distT="0" distB="0" distL="114300" distR="114300">
            <wp:extent cx="5273040" cy="3724910"/>
            <wp:effectExtent l="0" t="0" r="3810" b="889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0"/>
                    <a:stretch>
                      <a:fillRect/>
                    </a:stretch>
                  </pic:blipFill>
                  <pic:spPr>
                    <a:xfrm>
                      <a:off x="0" y="0"/>
                      <a:ext cx="5273040" cy="3724910"/>
                    </a:xfrm>
                    <a:prstGeom prst="rect">
                      <a:avLst/>
                    </a:prstGeom>
                    <a:noFill/>
                    <a:ln>
                      <a:noFill/>
                    </a:ln>
                  </pic:spPr>
                </pic:pic>
              </a:graphicData>
            </a:graphic>
          </wp:inline>
        </w:drawing>
      </w:r>
    </w:p>
    <w:p w14:paraId="0D1D534D">
      <w:pPr>
        <w:numPr>
          <w:ilvl w:val="0"/>
          <w:numId w:val="1"/>
        </w:numPr>
        <w:adjustRightInd w:val="0"/>
        <w:snapToGrid w:val="0"/>
        <w:spacing w:line="580" w:lineRule="atLeast"/>
        <w:ind w:left="0" w:leftChars="0" w:firstLine="640" w:firstLineChars="200"/>
        <w:rPr>
          <w:rFonts w:hint="eastAsia" w:ascii="黑体" w:hAnsi="黑体" w:eastAsia="黑体" w:cs="黑体"/>
          <w:bCs/>
          <w:sz w:val="32"/>
          <w:szCs w:val="32"/>
          <w:highlight w:val="none"/>
        </w:rPr>
      </w:pPr>
      <w:r>
        <w:rPr>
          <w:rFonts w:hint="eastAsia" w:ascii="黑体" w:hAnsi="黑体" w:eastAsia="黑体" w:cs="黑体"/>
          <w:bCs/>
          <w:sz w:val="32"/>
          <w:szCs w:val="32"/>
          <w:highlight w:val="none"/>
        </w:rPr>
        <w:t>一般公共预算财政拨款“三公”经费支出决算表</w:t>
      </w:r>
    </w:p>
    <w:p w14:paraId="2CF03E5E">
      <w:pPr>
        <w:keepNext w:val="0"/>
        <w:keepLines w:val="0"/>
        <w:pageBreakBefore w:val="0"/>
        <w:widowControl w:val="0"/>
        <w:numPr>
          <w:ilvl w:val="0"/>
          <w:numId w:val="0"/>
        </w:numPr>
        <w:kinsoku/>
        <w:wordWrap/>
        <w:overflowPunct/>
        <w:topLinePunct w:val="0"/>
        <w:autoSpaceDE/>
        <w:autoSpaceDN/>
        <w:bidi w:val="0"/>
        <w:adjustRightInd w:val="0"/>
        <w:snapToGrid w:val="0"/>
        <w:spacing w:line="580" w:lineRule="atLeast"/>
        <w:ind w:leftChars="0"/>
        <w:textAlignment w:val="auto"/>
        <w:rPr>
          <w:rFonts w:hint="eastAsia" w:eastAsia="仿宋_GB2312"/>
          <w:lang w:eastAsia="zh-CN"/>
        </w:rPr>
      </w:pPr>
      <w:r>
        <w:rPr>
          <w:rFonts w:hint="eastAsia" w:eastAsia="仿宋_GB2312"/>
          <w:lang w:eastAsia="zh-CN"/>
        </w:rPr>
        <w:drawing>
          <wp:inline distT="0" distB="0" distL="114300" distR="114300">
            <wp:extent cx="4728845" cy="3338830"/>
            <wp:effectExtent l="0" t="0" r="14605" b="13970"/>
            <wp:docPr id="7" name="图片 7" descr="公开表09_00_1024_723_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公开表09_00_1024_723_70"/>
                    <pic:cNvPicPr>
                      <a:picLocks noChangeAspect="1"/>
                    </pic:cNvPicPr>
                  </pic:nvPicPr>
                  <pic:blipFill>
                    <a:blip r:embed="rId11"/>
                    <a:stretch>
                      <a:fillRect/>
                    </a:stretch>
                  </pic:blipFill>
                  <pic:spPr>
                    <a:xfrm>
                      <a:off x="0" y="0"/>
                      <a:ext cx="4728845" cy="3338830"/>
                    </a:xfrm>
                    <a:prstGeom prst="rect">
                      <a:avLst/>
                    </a:prstGeom>
                    <a:noFill/>
                    <a:ln>
                      <a:noFill/>
                    </a:ln>
                  </pic:spPr>
                </pic:pic>
              </a:graphicData>
            </a:graphic>
          </wp:inline>
        </w:drawing>
      </w:r>
    </w:p>
    <w:p w14:paraId="697EADA2">
      <w:pPr>
        <w:numPr>
          <w:ilvl w:val="0"/>
          <w:numId w:val="0"/>
        </w:numPr>
        <w:adjustRightInd w:val="0"/>
        <w:snapToGrid w:val="0"/>
        <w:spacing w:line="580" w:lineRule="atLeast"/>
        <w:ind w:leftChars="200"/>
      </w:pPr>
    </w:p>
    <w:p w14:paraId="11A1E4D1">
      <w:pPr>
        <w:numPr>
          <w:ilvl w:val="0"/>
          <w:numId w:val="0"/>
        </w:numPr>
        <w:adjustRightInd w:val="0"/>
        <w:snapToGrid w:val="0"/>
        <w:spacing w:line="580" w:lineRule="atLeast"/>
        <w:ind w:leftChars="200"/>
      </w:pPr>
    </w:p>
    <w:p w14:paraId="5A192090">
      <w:pPr>
        <w:numPr>
          <w:ilvl w:val="0"/>
          <w:numId w:val="0"/>
        </w:numPr>
        <w:adjustRightInd w:val="0"/>
        <w:snapToGrid w:val="0"/>
        <w:spacing w:line="580" w:lineRule="atLeast"/>
        <w:ind w:leftChars="200"/>
      </w:pPr>
    </w:p>
    <w:p w14:paraId="79A2B38E">
      <w:pPr>
        <w:numPr>
          <w:ilvl w:val="0"/>
          <w:numId w:val="0"/>
        </w:numPr>
        <w:adjustRightInd w:val="0"/>
        <w:snapToGrid w:val="0"/>
        <w:spacing w:line="580" w:lineRule="atLeast"/>
        <w:ind w:leftChars="200"/>
      </w:pPr>
    </w:p>
    <w:p w14:paraId="4E44BE22">
      <w:pPr>
        <w:numPr>
          <w:ilvl w:val="0"/>
          <w:numId w:val="0"/>
        </w:numPr>
        <w:adjustRightInd w:val="0"/>
        <w:snapToGrid w:val="0"/>
        <w:spacing w:line="580" w:lineRule="atLeast"/>
        <w:rPr>
          <w:rFonts w:hint="eastAsia"/>
        </w:rPr>
      </w:pPr>
    </w:p>
    <w:p w14:paraId="1C98C2D2">
      <w:pPr>
        <w:numPr>
          <w:ilvl w:val="0"/>
          <w:numId w:val="1"/>
        </w:numPr>
        <w:adjustRightInd w:val="0"/>
        <w:snapToGrid w:val="0"/>
        <w:spacing w:line="580" w:lineRule="atLeast"/>
        <w:ind w:left="0" w:leftChars="0" w:firstLine="640" w:firstLineChars="200"/>
        <w:rPr>
          <w:rFonts w:hint="eastAsia" w:ascii="黑体" w:hAnsi="黑体" w:eastAsia="黑体" w:cs="黑体"/>
          <w:bCs/>
          <w:sz w:val="32"/>
          <w:szCs w:val="32"/>
          <w:highlight w:val="none"/>
        </w:rPr>
      </w:pPr>
      <w:r>
        <w:rPr>
          <w:rFonts w:hint="eastAsia" w:ascii="黑体" w:hAnsi="黑体" w:eastAsia="黑体" w:cs="黑体"/>
          <w:bCs/>
          <w:sz w:val="32"/>
          <w:szCs w:val="32"/>
          <w:highlight w:val="none"/>
        </w:rPr>
        <w:t>政府性基金预算财政拨款收入支出决算表</w:t>
      </w:r>
    </w:p>
    <w:p w14:paraId="5ED4546D">
      <w:pPr>
        <w:numPr>
          <w:ilvl w:val="0"/>
          <w:numId w:val="0"/>
        </w:numPr>
        <w:adjustRightInd w:val="0"/>
        <w:snapToGrid w:val="0"/>
        <w:spacing w:line="580" w:lineRule="atLeast"/>
        <w:ind w:leftChars="200"/>
        <w:rPr>
          <w:rFonts w:hint="eastAsia" w:ascii="黑体" w:hAnsi="黑体" w:eastAsia="黑体" w:cs="黑体"/>
          <w:bCs/>
          <w:sz w:val="32"/>
          <w:szCs w:val="32"/>
          <w:highlight w:val="none"/>
          <w:lang w:eastAsia="zh-CN"/>
        </w:rPr>
      </w:pPr>
      <w:r>
        <w:rPr>
          <w:rFonts w:hint="eastAsia" w:ascii="黑体" w:hAnsi="黑体" w:eastAsia="黑体" w:cs="黑体"/>
          <w:bCs/>
          <w:sz w:val="32"/>
          <w:szCs w:val="32"/>
          <w:highlight w:val="none"/>
          <w:lang w:eastAsia="zh-CN"/>
        </w:rPr>
        <w:drawing>
          <wp:inline distT="0" distB="0" distL="114300" distR="114300">
            <wp:extent cx="5259070" cy="1656080"/>
            <wp:effectExtent l="0" t="0" r="17780" b="1270"/>
            <wp:docPr id="8" name="图片 8" descr="赤壁市车埠镇人民政府_Z09 政府性基金预算财政拨款收入支出决算表(公开07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赤壁市车埠镇人民政府_Z09 政府性基金预算财政拨款收入支出决算表(公开07表)"/>
                    <pic:cNvPicPr>
                      <a:picLocks noChangeAspect="1"/>
                    </pic:cNvPicPr>
                  </pic:nvPicPr>
                  <pic:blipFill>
                    <a:blip r:embed="rId12"/>
                    <a:stretch>
                      <a:fillRect/>
                    </a:stretch>
                  </pic:blipFill>
                  <pic:spPr>
                    <a:xfrm>
                      <a:off x="0" y="0"/>
                      <a:ext cx="5259070" cy="1656080"/>
                    </a:xfrm>
                    <a:prstGeom prst="rect">
                      <a:avLst/>
                    </a:prstGeom>
                    <a:noFill/>
                    <a:ln>
                      <a:noFill/>
                    </a:ln>
                  </pic:spPr>
                </pic:pic>
              </a:graphicData>
            </a:graphic>
          </wp:inline>
        </w:drawing>
      </w:r>
    </w:p>
    <w:p w14:paraId="3A057F93">
      <w:pPr>
        <w:numPr>
          <w:ilvl w:val="0"/>
          <w:numId w:val="1"/>
        </w:numPr>
        <w:ind w:left="0" w:leftChars="0" w:firstLine="640" w:firstLineChars="200"/>
        <w:jc w:val="both"/>
        <w:rPr>
          <w:rFonts w:hint="eastAsia" w:ascii="黑体" w:hAnsi="黑体" w:eastAsia="黑体" w:cs="黑体"/>
          <w:bCs/>
          <w:sz w:val="32"/>
          <w:szCs w:val="32"/>
          <w:highlight w:val="none"/>
        </w:rPr>
      </w:pPr>
      <w:r>
        <w:rPr>
          <w:rFonts w:hint="eastAsia" w:ascii="黑体" w:hAnsi="黑体" w:eastAsia="黑体" w:cs="黑体"/>
          <w:bCs/>
          <w:sz w:val="32"/>
          <w:szCs w:val="32"/>
          <w:highlight w:val="none"/>
        </w:rPr>
        <w:t>国有资本经营预算财政拨款支出决算表</w:t>
      </w:r>
    </w:p>
    <w:p w14:paraId="65C2A27C">
      <w:pPr>
        <w:numPr>
          <w:ilvl w:val="0"/>
          <w:numId w:val="0"/>
        </w:numPr>
        <w:ind w:leftChars="200"/>
        <w:jc w:val="both"/>
        <w:rPr>
          <w:rFonts w:hint="eastAsia" w:ascii="黑体" w:hAnsi="黑体" w:eastAsia="黑体" w:cs="黑体"/>
          <w:bCs/>
          <w:sz w:val="32"/>
          <w:szCs w:val="32"/>
          <w:highlight w:val="none"/>
          <w:lang w:val="en-US" w:eastAsia="zh-CN"/>
        </w:rPr>
      </w:pPr>
      <w:r>
        <w:rPr>
          <w:rFonts w:hint="eastAsia" w:ascii="黑体" w:hAnsi="黑体" w:eastAsia="黑体" w:cs="黑体"/>
          <w:bCs/>
          <w:sz w:val="32"/>
          <w:szCs w:val="32"/>
          <w:highlight w:val="none"/>
          <w:lang w:val="en-US" w:eastAsia="zh-CN"/>
        </w:rPr>
        <w:drawing>
          <wp:inline distT="0" distB="0" distL="114300" distR="114300">
            <wp:extent cx="4728845" cy="3338830"/>
            <wp:effectExtent l="0" t="0" r="14605" b="13970"/>
            <wp:docPr id="9" name="图片 9" descr="公开表08_00_1024_723_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公开表08_00_1024_723_70"/>
                    <pic:cNvPicPr>
                      <a:picLocks noChangeAspect="1"/>
                    </pic:cNvPicPr>
                  </pic:nvPicPr>
                  <pic:blipFill>
                    <a:blip r:embed="rId13"/>
                    <a:stretch>
                      <a:fillRect/>
                    </a:stretch>
                  </pic:blipFill>
                  <pic:spPr>
                    <a:xfrm>
                      <a:off x="0" y="0"/>
                      <a:ext cx="4728845" cy="3338830"/>
                    </a:xfrm>
                    <a:prstGeom prst="rect">
                      <a:avLst/>
                    </a:prstGeom>
                    <a:noFill/>
                    <a:ln>
                      <a:noFill/>
                    </a:ln>
                  </pic:spPr>
                </pic:pic>
              </a:graphicData>
            </a:graphic>
          </wp:inline>
        </w:drawing>
      </w:r>
    </w:p>
    <w:p w14:paraId="5DA95C5B">
      <w:pPr>
        <w:ind w:firstLine="640"/>
        <w:jc w:val="both"/>
        <w:rPr>
          <w:rFonts w:hint="eastAsia" w:ascii="黑体" w:hAnsi="黑体" w:eastAsia="黑体" w:cs="黑体"/>
          <w:color w:val="000000" w:themeColor="text1"/>
          <w:sz w:val="32"/>
          <w:szCs w:val="32"/>
          <w:lang w:val="en-US" w:eastAsia="zh-CN"/>
          <w14:textFill>
            <w14:solidFill>
              <w14:schemeClr w14:val="tx1"/>
            </w14:solidFill>
          </w14:textFill>
        </w:rPr>
      </w:pPr>
      <w:r>
        <w:rPr>
          <w:rFonts w:hint="eastAsia" w:ascii="黑体" w:hAnsi="黑体" w:eastAsia="黑体" w:cs="黑体"/>
          <w:color w:val="000000" w:themeColor="text1"/>
          <w:sz w:val="32"/>
          <w:szCs w:val="32"/>
          <w:lang w:val="en-US" w:eastAsia="zh-CN"/>
          <w14:textFill>
            <w14:solidFill>
              <w14:schemeClr w14:val="tx1"/>
            </w14:solidFill>
          </w14:textFill>
        </w:rPr>
        <w:t>第三部分  2022年度部门决算情况说明</w:t>
      </w:r>
    </w:p>
    <w:p w14:paraId="398228B5">
      <w:pPr>
        <w:adjustRightInd w:val="0"/>
        <w:snapToGrid w:val="0"/>
        <w:spacing w:line="580" w:lineRule="atLeast"/>
        <w:ind w:firstLine="640" w:firstLineChars="200"/>
        <w:rPr>
          <w:rFonts w:hint="eastAsia" w:ascii="黑体" w:hAnsi="黑体" w:eastAsia="黑体" w:cs="黑体"/>
          <w:bCs/>
          <w:sz w:val="32"/>
          <w:szCs w:val="32"/>
          <w:highlight w:val="none"/>
          <w:lang w:val="en-US" w:eastAsia="zh-CN"/>
        </w:rPr>
      </w:pPr>
      <w:r>
        <w:rPr>
          <w:rFonts w:hint="eastAsia" w:ascii="黑体" w:hAnsi="黑体" w:eastAsia="黑体" w:cs="黑体"/>
          <w:bCs/>
          <w:sz w:val="32"/>
          <w:szCs w:val="32"/>
          <w:highlight w:val="none"/>
          <w:lang w:val="en-US" w:eastAsia="zh-CN"/>
        </w:rPr>
        <w:t>一、收入支出决算总体情况说明</w:t>
      </w:r>
    </w:p>
    <w:p w14:paraId="540E6522">
      <w:pPr>
        <w:adjustRightInd w:val="0"/>
        <w:snapToGrid w:val="0"/>
        <w:spacing w:line="580" w:lineRule="atLeast"/>
        <w:ind w:firstLine="640" w:firstLineChars="200"/>
        <w:rPr>
          <w:rFonts w:hint="eastAsia" w:ascii="仿宋_GB2312" w:hAnsi="宋体" w:eastAsia="仿宋_GB2312"/>
          <w:bCs/>
          <w:sz w:val="32"/>
          <w:szCs w:val="32"/>
          <w:highlight w:val="none"/>
          <w:lang w:val="en-US" w:eastAsia="zh-CN"/>
        </w:rPr>
      </w:pPr>
      <w:r>
        <w:rPr>
          <w:rFonts w:hint="eastAsia" w:ascii="仿宋_GB2312" w:hAnsi="宋体"/>
          <w:bCs/>
          <w:sz w:val="32"/>
          <w:szCs w:val="32"/>
          <w:highlight w:val="none"/>
          <w:lang w:val="en-US" w:eastAsia="zh-CN"/>
        </w:rPr>
        <w:t>2022年</w:t>
      </w:r>
      <w:r>
        <w:rPr>
          <w:rFonts w:hint="eastAsia" w:ascii="仿宋_GB2312" w:hAnsi="宋体" w:eastAsia="仿宋_GB2312"/>
          <w:bCs/>
          <w:sz w:val="32"/>
          <w:szCs w:val="32"/>
          <w:highlight w:val="none"/>
          <w:lang w:val="en-US" w:eastAsia="zh-CN"/>
        </w:rPr>
        <w:t>度收、支总计</w:t>
      </w:r>
      <w:r>
        <w:rPr>
          <w:rFonts w:hint="eastAsia" w:ascii="仿宋_GB2312" w:hAnsi="宋体"/>
          <w:bCs/>
          <w:sz w:val="32"/>
          <w:szCs w:val="32"/>
          <w:highlight w:val="none"/>
          <w:lang w:val="en-US" w:eastAsia="zh-CN"/>
        </w:rPr>
        <w:t>均为</w:t>
      </w:r>
      <w:r>
        <w:rPr>
          <w:rFonts w:hint="eastAsia" w:ascii="仿宋_GB2312" w:hAnsi="宋体"/>
          <w:bCs/>
          <w:sz w:val="32"/>
          <w:szCs w:val="32"/>
          <w:highlight w:val="none"/>
          <w:u w:val="none"/>
          <w:lang w:val="en-US" w:eastAsia="zh-CN"/>
        </w:rPr>
        <w:t>2497.42</w:t>
      </w:r>
      <w:r>
        <w:rPr>
          <w:rFonts w:hint="eastAsia" w:ascii="仿宋_GB2312" w:hAnsi="宋体" w:eastAsia="仿宋_GB2312"/>
          <w:bCs/>
          <w:sz w:val="32"/>
          <w:szCs w:val="32"/>
          <w:highlight w:val="none"/>
          <w:lang w:val="en-US" w:eastAsia="zh-CN"/>
        </w:rPr>
        <w:t>万元。与</w:t>
      </w:r>
      <w:r>
        <w:rPr>
          <w:rFonts w:hint="eastAsia" w:ascii="仿宋_GB2312" w:hAnsi="宋体"/>
          <w:bCs/>
          <w:sz w:val="32"/>
          <w:szCs w:val="32"/>
          <w:highlight w:val="none"/>
          <w:lang w:val="en-US" w:eastAsia="zh-CN"/>
        </w:rPr>
        <w:t>2021年</w:t>
      </w:r>
      <w:r>
        <w:rPr>
          <w:rFonts w:hint="eastAsia" w:ascii="仿宋_GB2312" w:hAnsi="宋体" w:eastAsia="仿宋_GB2312"/>
          <w:bCs/>
          <w:sz w:val="32"/>
          <w:szCs w:val="32"/>
          <w:highlight w:val="none"/>
          <w:lang w:val="en-US" w:eastAsia="zh-CN"/>
        </w:rPr>
        <w:t>度相比，收、支总计各减少</w:t>
      </w:r>
      <w:r>
        <w:rPr>
          <w:rFonts w:hint="eastAsia" w:ascii="仿宋_GB2312" w:hAnsi="宋体"/>
          <w:bCs/>
          <w:sz w:val="32"/>
          <w:szCs w:val="32"/>
          <w:highlight w:val="none"/>
          <w:u w:val="single"/>
          <w:lang w:val="en-US" w:eastAsia="zh-CN"/>
        </w:rPr>
        <w:t xml:space="preserve">  1911.85  </w:t>
      </w:r>
      <w:r>
        <w:rPr>
          <w:rFonts w:hint="eastAsia" w:ascii="仿宋_GB2312" w:hAnsi="宋体" w:eastAsia="仿宋_GB2312"/>
          <w:bCs/>
          <w:sz w:val="32"/>
          <w:szCs w:val="32"/>
          <w:highlight w:val="none"/>
          <w:lang w:val="en-US" w:eastAsia="zh-CN"/>
        </w:rPr>
        <w:t>万元，下降</w:t>
      </w:r>
      <w:r>
        <w:rPr>
          <w:rFonts w:hint="eastAsia" w:ascii="仿宋_GB2312" w:hAnsi="宋体"/>
          <w:bCs/>
          <w:sz w:val="32"/>
          <w:szCs w:val="32"/>
          <w:highlight w:val="none"/>
          <w:u w:val="single"/>
          <w:lang w:val="en-US" w:eastAsia="zh-CN"/>
        </w:rPr>
        <w:t xml:space="preserve">  76.6  </w:t>
      </w:r>
      <w:r>
        <w:rPr>
          <w:rFonts w:hint="eastAsia" w:ascii="仿宋_GB2312" w:hAnsi="宋体" w:eastAsia="仿宋_GB2312"/>
          <w:bCs/>
          <w:sz w:val="32"/>
          <w:szCs w:val="32"/>
          <w:highlight w:val="none"/>
          <w:lang w:val="en-US" w:eastAsia="zh-CN"/>
        </w:rPr>
        <w:t xml:space="preserve"> %，主要原因</w:t>
      </w:r>
      <w:r>
        <w:rPr>
          <w:rFonts w:hint="eastAsia" w:ascii="仿宋_GB2312" w:hAnsi="宋体"/>
          <w:bCs/>
          <w:sz w:val="32"/>
          <w:szCs w:val="32"/>
          <w:highlight w:val="none"/>
          <w:lang w:val="en-US" w:eastAsia="zh-CN"/>
        </w:rPr>
        <w:t>是项目支出的减少</w:t>
      </w:r>
      <w:r>
        <w:rPr>
          <w:rFonts w:hint="eastAsia" w:ascii="仿宋_GB2312" w:hAnsi="宋体" w:eastAsia="仿宋_GB2312"/>
          <w:bCs/>
          <w:sz w:val="32"/>
          <w:szCs w:val="32"/>
          <w:highlight w:val="none"/>
          <w:lang w:val="en-US" w:eastAsia="zh-CN"/>
        </w:rPr>
        <w:t>。</w:t>
      </w:r>
    </w:p>
    <w:p w14:paraId="6C370AC6">
      <w:pPr>
        <w:numPr>
          <w:ilvl w:val="0"/>
          <w:numId w:val="0"/>
        </w:numPr>
        <w:adjustRightInd w:val="0"/>
        <w:snapToGrid w:val="0"/>
        <w:spacing w:line="580" w:lineRule="atLeast"/>
        <w:ind w:firstLine="640" w:firstLineChars="200"/>
        <w:rPr>
          <w:rFonts w:hint="eastAsia"/>
          <w:lang w:val="en-US" w:eastAsia="zh-CN"/>
        </w:rPr>
      </w:pPr>
      <w:r>
        <w:rPr>
          <w:rFonts w:hint="eastAsia" w:ascii="黑体" w:hAnsi="黑体" w:eastAsia="黑体" w:cs="黑体"/>
          <w:bCs/>
          <w:sz w:val="32"/>
          <w:szCs w:val="32"/>
          <w:highlight w:val="none"/>
          <w:lang w:val="en-US" w:eastAsia="zh-CN"/>
        </w:rPr>
        <w:t>二、收入决算情况说明</w:t>
      </w:r>
    </w:p>
    <w:p w14:paraId="509DA489">
      <w:pPr>
        <w:bidi w:val="0"/>
        <w:ind w:firstLine="1280" w:firstLineChars="400"/>
        <w:rPr>
          <w:rFonts w:hint="eastAsia" w:ascii="仿宋_GB2312" w:hAnsi="宋体"/>
          <w:bCs/>
          <w:szCs w:val="32"/>
          <w:highlight w:val="none"/>
          <w:lang w:val="en-US" w:eastAsia="zh-CN"/>
        </w:rPr>
      </w:pPr>
      <w:r>
        <w:rPr>
          <w:rFonts w:hint="eastAsia" w:ascii="仿宋_GB2312" w:hAnsi="宋体"/>
          <w:bCs/>
          <w:szCs w:val="32"/>
          <w:highlight w:val="none"/>
          <w:lang w:val="en-US" w:eastAsia="zh-CN"/>
        </w:rPr>
        <w:t>2022年度收入合计2497.42万元，与2021年度相比，收入合计减少1911.85万元，下降76.6%，主要原因是项目支出的减少。</w:t>
      </w:r>
    </w:p>
    <w:p w14:paraId="619BAF14">
      <w:pPr>
        <w:bidi w:val="0"/>
        <w:rPr>
          <w:rFonts w:hint="default"/>
          <w:lang w:val="en-US" w:eastAsia="zh-CN"/>
        </w:rPr>
      </w:pPr>
      <w:r>
        <w:rPr>
          <w:rFonts w:hint="eastAsia" w:ascii="仿宋_GB2312" w:hAnsi="宋体"/>
          <w:bCs/>
          <w:szCs w:val="32"/>
          <w:highlight w:val="none"/>
          <w:lang w:val="en-US" w:eastAsia="zh-CN"/>
        </w:rPr>
        <w:t>其中：财政拨款收入2089.16万元，占本年收入83.7%；上级补助收入0万元，占本年收入</w:t>
      </w:r>
      <w:r>
        <w:rPr>
          <w:rFonts w:hint="eastAsia" w:ascii="仿宋_GB2312" w:hAnsi="宋体"/>
          <w:bCs/>
          <w:szCs w:val="32"/>
          <w:highlight w:val="none"/>
          <w:u w:val="single"/>
          <w:lang w:val="en-US" w:eastAsia="zh-CN"/>
        </w:rPr>
        <w:t xml:space="preserve"> 0 </w:t>
      </w:r>
      <w:r>
        <w:rPr>
          <w:rFonts w:hint="eastAsia" w:ascii="仿宋_GB2312" w:hAnsi="宋体"/>
          <w:bCs/>
          <w:szCs w:val="32"/>
          <w:highlight w:val="none"/>
          <w:lang w:val="en-US" w:eastAsia="zh-CN"/>
        </w:rPr>
        <w:t>%；事业收入</w:t>
      </w:r>
      <w:r>
        <w:rPr>
          <w:rFonts w:hint="eastAsia" w:ascii="仿宋_GB2312" w:hAnsi="宋体"/>
          <w:bCs/>
          <w:szCs w:val="32"/>
          <w:highlight w:val="none"/>
          <w:u w:val="single"/>
          <w:lang w:val="en-US" w:eastAsia="zh-CN"/>
        </w:rPr>
        <w:t xml:space="preserve">  0 </w:t>
      </w:r>
      <w:r>
        <w:rPr>
          <w:rFonts w:hint="eastAsia" w:ascii="仿宋_GB2312" w:hAnsi="宋体"/>
          <w:bCs/>
          <w:szCs w:val="32"/>
          <w:highlight w:val="none"/>
          <w:lang w:val="en-US" w:eastAsia="zh-CN"/>
        </w:rPr>
        <w:t>万元，占本年收入</w:t>
      </w:r>
      <w:r>
        <w:rPr>
          <w:rFonts w:hint="eastAsia" w:ascii="仿宋_GB2312" w:hAnsi="宋体"/>
          <w:bCs/>
          <w:szCs w:val="32"/>
          <w:highlight w:val="none"/>
          <w:u w:val="single"/>
          <w:lang w:val="en-US" w:eastAsia="zh-CN"/>
        </w:rPr>
        <w:t xml:space="preserve">  0 </w:t>
      </w:r>
      <w:r>
        <w:rPr>
          <w:rFonts w:hint="eastAsia" w:ascii="仿宋_GB2312" w:hAnsi="宋体"/>
          <w:bCs/>
          <w:szCs w:val="32"/>
          <w:highlight w:val="none"/>
          <w:lang w:val="en-US" w:eastAsia="zh-CN"/>
        </w:rPr>
        <w:t>%；经营收入</w:t>
      </w:r>
      <w:r>
        <w:rPr>
          <w:rFonts w:hint="eastAsia" w:ascii="仿宋_GB2312" w:hAnsi="宋体"/>
          <w:bCs/>
          <w:szCs w:val="32"/>
          <w:highlight w:val="none"/>
          <w:u w:val="single"/>
          <w:lang w:val="en-US" w:eastAsia="zh-CN"/>
        </w:rPr>
        <w:t xml:space="preserve"> 0  </w:t>
      </w:r>
      <w:r>
        <w:rPr>
          <w:rFonts w:hint="eastAsia" w:ascii="仿宋_GB2312" w:hAnsi="宋体"/>
          <w:bCs/>
          <w:szCs w:val="32"/>
          <w:highlight w:val="none"/>
          <w:lang w:val="en-US" w:eastAsia="zh-CN"/>
        </w:rPr>
        <w:t>万元，占</w:t>
      </w:r>
      <w:r>
        <w:rPr>
          <w:rFonts w:hint="eastAsia"/>
          <w:lang w:val="en-US" w:eastAsia="zh-CN"/>
        </w:rPr>
        <w:t>本年收入</w:t>
      </w:r>
      <w:r>
        <w:rPr>
          <w:rFonts w:hint="eastAsia"/>
          <w:u w:val="single"/>
          <w:lang w:val="en-US" w:eastAsia="zh-CN"/>
        </w:rPr>
        <w:t xml:space="preserve">  0 </w:t>
      </w:r>
      <w:r>
        <w:rPr>
          <w:rFonts w:hint="eastAsia"/>
          <w:lang w:val="en-US" w:eastAsia="zh-CN"/>
        </w:rPr>
        <w:t>%；附属单位上缴收入</w:t>
      </w:r>
      <w:r>
        <w:rPr>
          <w:rFonts w:hint="eastAsia"/>
          <w:u w:val="single"/>
          <w:lang w:val="en-US" w:eastAsia="zh-CN"/>
        </w:rPr>
        <w:t xml:space="preserve"> 0   </w:t>
      </w:r>
      <w:r>
        <w:rPr>
          <w:rFonts w:hint="eastAsia"/>
          <w:u w:val="none"/>
          <w:lang w:val="en-US" w:eastAsia="zh-CN"/>
        </w:rPr>
        <w:t>万元，</w:t>
      </w:r>
      <w:r>
        <w:rPr>
          <w:rFonts w:hint="eastAsia" w:ascii="仿宋_GB2312" w:hAnsi="宋体"/>
          <w:bCs/>
          <w:szCs w:val="32"/>
          <w:highlight w:val="none"/>
          <w:lang w:val="en-US" w:eastAsia="zh-CN"/>
        </w:rPr>
        <w:t>占</w:t>
      </w:r>
      <w:r>
        <w:rPr>
          <w:rFonts w:hint="eastAsia"/>
          <w:lang w:val="en-US" w:eastAsia="zh-CN"/>
        </w:rPr>
        <w:t>本年收入</w:t>
      </w:r>
      <w:r>
        <w:rPr>
          <w:rFonts w:hint="eastAsia"/>
          <w:u w:val="single"/>
          <w:lang w:val="en-US" w:eastAsia="zh-CN"/>
        </w:rPr>
        <w:t xml:space="preserve"> 0  </w:t>
      </w:r>
      <w:r>
        <w:rPr>
          <w:rFonts w:hint="eastAsia"/>
          <w:lang w:val="en-US" w:eastAsia="zh-CN"/>
        </w:rPr>
        <w:t>%；其他收入</w:t>
      </w:r>
      <w:r>
        <w:rPr>
          <w:rFonts w:hint="eastAsia"/>
          <w:u w:val="single"/>
          <w:lang w:val="en-US" w:eastAsia="zh-CN"/>
        </w:rPr>
        <w:t xml:space="preserve">   408.12</w:t>
      </w:r>
      <w:r>
        <w:rPr>
          <w:rFonts w:hint="eastAsia"/>
          <w:lang w:val="en-US" w:eastAsia="zh-CN"/>
        </w:rPr>
        <w:t>万元，占本年收入</w:t>
      </w:r>
      <w:r>
        <w:rPr>
          <w:rFonts w:hint="eastAsia"/>
          <w:u w:val="single"/>
          <w:lang w:val="en-US" w:eastAsia="zh-CN"/>
        </w:rPr>
        <w:t xml:space="preserve"> 16.3  </w:t>
      </w:r>
      <w:r>
        <w:rPr>
          <w:rFonts w:hint="eastAsia"/>
          <w:lang w:val="en-US" w:eastAsia="zh-CN"/>
        </w:rPr>
        <w:t>%。预算收入科目为财政拨款收入、其他收入。</w:t>
      </w:r>
    </w:p>
    <w:p w14:paraId="2B22E372">
      <w:pPr>
        <w:bidi w:val="0"/>
        <w:ind w:firstLine="640" w:firstLineChars="200"/>
        <w:rPr>
          <w:rFonts w:hint="eastAsia" w:ascii="黑体" w:hAnsi="黑体" w:eastAsia="黑体" w:cs="黑体"/>
        </w:rPr>
      </w:pPr>
      <w:r>
        <w:rPr>
          <w:rFonts w:hint="eastAsia" w:ascii="黑体" w:hAnsi="黑体" w:eastAsia="黑体" w:cs="黑体"/>
          <w:lang w:val="en-US" w:eastAsia="zh-CN"/>
        </w:rPr>
        <w:t>三、支出决算情况说明</w:t>
      </w:r>
    </w:p>
    <w:p w14:paraId="400AC3AD">
      <w:pPr>
        <w:bidi w:val="0"/>
        <w:ind w:firstLine="640" w:firstLineChars="200"/>
        <w:rPr>
          <w:rFonts w:hint="eastAsia"/>
          <w:lang w:val="en-US" w:eastAsia="zh-CN"/>
        </w:rPr>
      </w:pPr>
      <w:r>
        <w:rPr>
          <w:rFonts w:hint="eastAsia"/>
          <w:lang w:eastAsia="zh-CN"/>
        </w:rPr>
        <w:t>202</w:t>
      </w:r>
      <w:r>
        <w:rPr>
          <w:rFonts w:hint="eastAsia"/>
          <w:lang w:val="en-US" w:eastAsia="zh-CN"/>
        </w:rPr>
        <w:t>2</w:t>
      </w:r>
      <w:r>
        <w:rPr>
          <w:rFonts w:hint="eastAsia"/>
          <w:lang w:eastAsia="zh-CN"/>
        </w:rPr>
        <w:t>年</w:t>
      </w:r>
      <w:r>
        <w:rPr>
          <w:rFonts w:hint="eastAsia"/>
        </w:rPr>
        <w:t>度支出合计</w:t>
      </w:r>
      <w:r>
        <w:rPr>
          <w:rFonts w:hint="eastAsia"/>
          <w:lang w:val="en-US" w:eastAsia="zh-CN"/>
        </w:rPr>
        <w:t>2497.42</w:t>
      </w:r>
      <w:r>
        <w:rPr>
          <w:rFonts w:hint="eastAsia"/>
        </w:rPr>
        <w:t>万元</w:t>
      </w:r>
      <w:r>
        <w:rPr>
          <w:rFonts w:hint="eastAsia"/>
          <w:lang w:eastAsia="zh-CN"/>
        </w:rPr>
        <w:t>，</w:t>
      </w:r>
      <w:r>
        <w:rPr>
          <w:rFonts w:hint="eastAsia"/>
          <w:lang w:val="en-US" w:eastAsia="zh-CN"/>
        </w:rPr>
        <w:t>与2021年度相比，支出合计减少1911.85万元，减少76.6</w:t>
      </w:r>
      <w:r>
        <w:rPr>
          <w:rFonts w:hint="eastAsia"/>
          <w:u w:val="single"/>
          <w:lang w:val="en-US" w:eastAsia="zh-CN"/>
        </w:rPr>
        <w:t xml:space="preserve"> </w:t>
      </w:r>
      <w:r>
        <w:rPr>
          <w:rFonts w:hint="eastAsia"/>
          <w:lang w:val="en-US" w:eastAsia="zh-CN"/>
        </w:rPr>
        <w:t>%，主要原因是项目支出的减少。</w:t>
      </w:r>
    </w:p>
    <w:p w14:paraId="76700FE8">
      <w:pPr>
        <w:bidi w:val="0"/>
        <w:rPr>
          <w:rFonts w:hint="eastAsia"/>
          <w:lang w:val="en-US" w:eastAsia="zh-CN"/>
        </w:rPr>
      </w:pPr>
      <w:r>
        <w:rPr>
          <w:rFonts w:hint="eastAsia" w:ascii="仿宋_GB2312" w:eastAsia="仿宋_GB2312"/>
          <w:bCs/>
          <w:kern w:val="44"/>
          <w:szCs w:val="32"/>
          <w:highlight w:val="none"/>
        </w:rPr>
        <w:t>其中：基本支出</w:t>
      </w:r>
      <w:r>
        <w:rPr>
          <w:rFonts w:hint="eastAsia" w:ascii="仿宋_GB2312" w:eastAsia="仿宋_GB2312"/>
          <w:bCs/>
          <w:kern w:val="44"/>
          <w:szCs w:val="32"/>
          <w:highlight w:val="none"/>
          <w:u w:val="single"/>
        </w:rPr>
        <w:t xml:space="preserve"> </w:t>
      </w:r>
      <w:r>
        <w:rPr>
          <w:rFonts w:hint="eastAsia" w:ascii="仿宋_GB2312"/>
          <w:bCs/>
          <w:kern w:val="44"/>
          <w:szCs w:val="32"/>
          <w:highlight w:val="none"/>
          <w:u w:val="single"/>
          <w:lang w:val="en-US" w:eastAsia="zh-CN"/>
        </w:rPr>
        <w:t>1284.55</w:t>
      </w:r>
      <w:r>
        <w:rPr>
          <w:rFonts w:hint="eastAsia" w:ascii="仿宋_GB2312" w:eastAsia="仿宋_GB2312"/>
          <w:bCs/>
          <w:kern w:val="44"/>
          <w:szCs w:val="32"/>
          <w:highlight w:val="none"/>
          <w:u w:val="single"/>
        </w:rPr>
        <w:t xml:space="preserve">   </w:t>
      </w:r>
      <w:r>
        <w:rPr>
          <w:rFonts w:hint="eastAsia" w:ascii="仿宋_GB2312" w:eastAsia="仿宋_GB2312"/>
          <w:bCs/>
          <w:kern w:val="44"/>
          <w:szCs w:val="32"/>
          <w:highlight w:val="none"/>
        </w:rPr>
        <w:t>万元，占本年支出</w:t>
      </w:r>
      <w:r>
        <w:rPr>
          <w:rFonts w:hint="eastAsia" w:ascii="仿宋_GB2312" w:eastAsia="仿宋_GB2312"/>
          <w:bCs/>
          <w:kern w:val="44"/>
          <w:szCs w:val="32"/>
          <w:highlight w:val="none"/>
          <w:u w:val="single"/>
        </w:rPr>
        <w:t xml:space="preserve"> </w:t>
      </w:r>
      <w:r>
        <w:rPr>
          <w:rFonts w:hint="eastAsia" w:ascii="仿宋_GB2312"/>
          <w:bCs/>
          <w:kern w:val="44"/>
          <w:szCs w:val="32"/>
          <w:highlight w:val="none"/>
          <w:u w:val="single"/>
          <w:lang w:val="en-US" w:eastAsia="zh-CN"/>
        </w:rPr>
        <w:t>51.4</w:t>
      </w:r>
      <w:r>
        <w:rPr>
          <w:rFonts w:hint="eastAsia" w:ascii="仿宋_GB2312" w:eastAsia="仿宋_GB2312"/>
          <w:bCs/>
          <w:kern w:val="44"/>
          <w:szCs w:val="32"/>
          <w:highlight w:val="none"/>
          <w:u w:val="single"/>
        </w:rPr>
        <w:t xml:space="preserve">   </w:t>
      </w:r>
      <w:r>
        <w:rPr>
          <w:rFonts w:hint="eastAsia" w:ascii="仿宋_GB2312" w:eastAsia="仿宋_GB2312"/>
          <w:bCs/>
          <w:kern w:val="44"/>
          <w:szCs w:val="32"/>
          <w:highlight w:val="none"/>
        </w:rPr>
        <w:t>%；项目支出</w:t>
      </w:r>
      <w:r>
        <w:rPr>
          <w:rFonts w:hint="eastAsia" w:ascii="仿宋_GB2312" w:eastAsia="仿宋_GB2312"/>
          <w:bCs/>
          <w:kern w:val="44"/>
          <w:szCs w:val="32"/>
          <w:highlight w:val="none"/>
          <w:u w:val="single"/>
        </w:rPr>
        <w:t xml:space="preserve"> </w:t>
      </w:r>
      <w:r>
        <w:rPr>
          <w:rFonts w:hint="eastAsia" w:ascii="仿宋_GB2312"/>
          <w:bCs/>
          <w:kern w:val="44"/>
          <w:szCs w:val="32"/>
          <w:highlight w:val="none"/>
          <w:u w:val="single"/>
          <w:lang w:val="en-US" w:eastAsia="zh-CN"/>
        </w:rPr>
        <w:t>1212.87</w:t>
      </w:r>
      <w:r>
        <w:rPr>
          <w:rFonts w:hint="eastAsia" w:ascii="仿宋_GB2312" w:eastAsia="仿宋_GB2312"/>
          <w:bCs/>
          <w:kern w:val="44"/>
          <w:szCs w:val="32"/>
          <w:highlight w:val="none"/>
          <w:u w:val="single"/>
        </w:rPr>
        <w:t xml:space="preserve">  </w:t>
      </w:r>
      <w:r>
        <w:rPr>
          <w:rFonts w:hint="eastAsia" w:ascii="仿宋_GB2312" w:eastAsia="仿宋_GB2312"/>
          <w:bCs/>
          <w:kern w:val="44"/>
          <w:szCs w:val="32"/>
          <w:highlight w:val="none"/>
        </w:rPr>
        <w:t>万元，占本年支出</w:t>
      </w:r>
      <w:r>
        <w:rPr>
          <w:rFonts w:hint="eastAsia" w:ascii="仿宋_GB2312" w:eastAsia="仿宋_GB2312"/>
          <w:bCs/>
          <w:kern w:val="44"/>
          <w:szCs w:val="32"/>
          <w:highlight w:val="none"/>
          <w:u w:val="single"/>
        </w:rPr>
        <w:t xml:space="preserve">  </w:t>
      </w:r>
      <w:r>
        <w:rPr>
          <w:rFonts w:hint="eastAsia" w:ascii="仿宋_GB2312"/>
          <w:bCs/>
          <w:kern w:val="44"/>
          <w:szCs w:val="32"/>
          <w:highlight w:val="none"/>
          <w:u w:val="single"/>
          <w:lang w:val="en-US" w:eastAsia="zh-CN"/>
        </w:rPr>
        <w:t>48.6</w:t>
      </w:r>
      <w:r>
        <w:rPr>
          <w:rFonts w:hint="eastAsia" w:ascii="仿宋_GB2312" w:eastAsia="仿宋_GB2312"/>
          <w:bCs/>
          <w:kern w:val="44"/>
          <w:szCs w:val="32"/>
          <w:highlight w:val="none"/>
          <w:u w:val="single"/>
        </w:rPr>
        <w:t xml:space="preserve">  </w:t>
      </w:r>
      <w:r>
        <w:rPr>
          <w:rFonts w:hint="eastAsia" w:ascii="仿宋_GB2312" w:eastAsia="仿宋_GB2312"/>
          <w:bCs/>
          <w:kern w:val="44"/>
          <w:szCs w:val="32"/>
          <w:highlight w:val="none"/>
        </w:rPr>
        <w:t>%；上缴上级支出</w:t>
      </w:r>
      <w:r>
        <w:rPr>
          <w:rFonts w:hint="eastAsia" w:ascii="仿宋_GB2312" w:eastAsia="仿宋_GB2312"/>
          <w:bCs/>
          <w:kern w:val="44"/>
          <w:szCs w:val="32"/>
          <w:highlight w:val="none"/>
          <w:u w:val="single"/>
        </w:rPr>
        <w:t xml:space="preserve">  </w:t>
      </w:r>
      <w:r>
        <w:rPr>
          <w:rFonts w:hint="eastAsia" w:ascii="仿宋_GB2312"/>
          <w:bCs/>
          <w:kern w:val="44"/>
          <w:szCs w:val="32"/>
          <w:highlight w:val="none"/>
          <w:u w:val="single"/>
          <w:lang w:val="en-US" w:eastAsia="zh-CN"/>
        </w:rPr>
        <w:t>0</w:t>
      </w:r>
      <w:r>
        <w:rPr>
          <w:rFonts w:hint="eastAsia" w:ascii="仿宋_GB2312" w:eastAsia="仿宋_GB2312"/>
          <w:bCs/>
          <w:kern w:val="44"/>
          <w:szCs w:val="32"/>
          <w:highlight w:val="none"/>
          <w:u w:val="single"/>
        </w:rPr>
        <w:t xml:space="preserve">  </w:t>
      </w:r>
      <w:r>
        <w:rPr>
          <w:rFonts w:hint="eastAsia" w:ascii="仿宋_GB2312" w:eastAsia="仿宋_GB2312"/>
          <w:bCs/>
          <w:kern w:val="44"/>
          <w:szCs w:val="32"/>
          <w:highlight w:val="none"/>
        </w:rPr>
        <w:t>万元，占本年支出</w:t>
      </w:r>
      <w:r>
        <w:rPr>
          <w:rFonts w:hint="eastAsia" w:ascii="仿宋_GB2312" w:eastAsia="仿宋_GB2312"/>
          <w:bCs/>
          <w:kern w:val="44"/>
          <w:szCs w:val="32"/>
          <w:highlight w:val="none"/>
          <w:u w:val="single"/>
        </w:rPr>
        <w:t xml:space="preserve">  </w:t>
      </w:r>
      <w:r>
        <w:rPr>
          <w:rFonts w:hint="eastAsia" w:ascii="仿宋_GB2312"/>
          <w:bCs/>
          <w:kern w:val="44"/>
          <w:szCs w:val="32"/>
          <w:highlight w:val="none"/>
          <w:u w:val="single"/>
          <w:lang w:val="en-US" w:eastAsia="zh-CN"/>
        </w:rPr>
        <w:t>0</w:t>
      </w:r>
      <w:r>
        <w:rPr>
          <w:rFonts w:hint="eastAsia" w:ascii="仿宋_GB2312" w:eastAsia="仿宋_GB2312"/>
          <w:bCs/>
          <w:kern w:val="44"/>
          <w:szCs w:val="32"/>
          <w:highlight w:val="none"/>
          <w:u w:val="single"/>
        </w:rPr>
        <w:t xml:space="preserve">  </w:t>
      </w:r>
      <w:r>
        <w:rPr>
          <w:rFonts w:hint="eastAsia" w:ascii="仿宋_GB2312" w:eastAsia="仿宋_GB2312"/>
          <w:bCs/>
          <w:kern w:val="44"/>
          <w:szCs w:val="32"/>
          <w:highlight w:val="none"/>
        </w:rPr>
        <w:t>%；经营支出</w:t>
      </w:r>
      <w:r>
        <w:rPr>
          <w:rFonts w:hint="eastAsia" w:ascii="仿宋_GB2312" w:eastAsia="仿宋_GB2312"/>
          <w:bCs/>
          <w:kern w:val="44"/>
          <w:szCs w:val="32"/>
          <w:highlight w:val="none"/>
          <w:u w:val="single"/>
        </w:rPr>
        <w:t xml:space="preserve">  </w:t>
      </w:r>
      <w:r>
        <w:rPr>
          <w:rFonts w:hint="eastAsia" w:ascii="仿宋_GB2312"/>
          <w:bCs/>
          <w:kern w:val="44"/>
          <w:szCs w:val="32"/>
          <w:highlight w:val="none"/>
          <w:u w:val="single"/>
          <w:lang w:val="en-US" w:eastAsia="zh-CN"/>
        </w:rPr>
        <w:t>0</w:t>
      </w:r>
      <w:r>
        <w:rPr>
          <w:rFonts w:hint="eastAsia" w:ascii="仿宋_GB2312" w:eastAsia="仿宋_GB2312"/>
          <w:bCs/>
          <w:kern w:val="44"/>
          <w:szCs w:val="32"/>
          <w:highlight w:val="none"/>
          <w:u w:val="single"/>
        </w:rPr>
        <w:t xml:space="preserve">  </w:t>
      </w:r>
      <w:r>
        <w:rPr>
          <w:rFonts w:hint="eastAsia" w:ascii="仿宋_GB2312" w:eastAsia="仿宋_GB2312"/>
          <w:bCs/>
          <w:kern w:val="44"/>
          <w:szCs w:val="32"/>
          <w:highlight w:val="none"/>
        </w:rPr>
        <w:t>万元，占本年支出</w:t>
      </w:r>
      <w:r>
        <w:rPr>
          <w:rFonts w:hint="eastAsia" w:ascii="仿宋_GB2312" w:eastAsia="仿宋_GB2312"/>
          <w:bCs/>
          <w:kern w:val="44"/>
          <w:szCs w:val="32"/>
          <w:highlight w:val="none"/>
          <w:u w:val="single"/>
        </w:rPr>
        <w:t xml:space="preserve"> </w:t>
      </w:r>
      <w:r>
        <w:rPr>
          <w:rFonts w:hint="eastAsia" w:ascii="仿宋_GB2312"/>
          <w:bCs/>
          <w:kern w:val="44"/>
          <w:szCs w:val="32"/>
          <w:highlight w:val="none"/>
          <w:u w:val="single"/>
          <w:lang w:val="en-US" w:eastAsia="zh-CN"/>
        </w:rPr>
        <w:t>0</w:t>
      </w:r>
      <w:r>
        <w:rPr>
          <w:rFonts w:hint="eastAsia" w:ascii="仿宋_GB2312" w:eastAsia="仿宋_GB2312"/>
          <w:bCs/>
          <w:kern w:val="44"/>
          <w:szCs w:val="32"/>
          <w:highlight w:val="none"/>
          <w:u w:val="single"/>
        </w:rPr>
        <w:t xml:space="preserve">  </w:t>
      </w:r>
      <w:r>
        <w:rPr>
          <w:rFonts w:hint="eastAsia" w:ascii="仿宋_GB2312" w:eastAsia="仿宋_GB2312"/>
          <w:bCs/>
          <w:kern w:val="44"/>
          <w:szCs w:val="32"/>
          <w:highlight w:val="none"/>
        </w:rPr>
        <w:t>%</w:t>
      </w:r>
      <w:r>
        <w:rPr>
          <w:rFonts w:hint="eastAsia" w:ascii="仿宋_GB2312"/>
          <w:bCs/>
          <w:kern w:val="44"/>
          <w:szCs w:val="32"/>
          <w:highlight w:val="none"/>
          <w:lang w:eastAsia="zh-CN"/>
        </w:rPr>
        <w:t>；对附属单位补助支出</w:t>
      </w:r>
      <w:r>
        <w:rPr>
          <w:rFonts w:hint="eastAsia" w:ascii="仿宋_GB2312"/>
          <w:bCs/>
          <w:kern w:val="44"/>
          <w:szCs w:val="32"/>
          <w:highlight w:val="none"/>
          <w:u w:val="single"/>
          <w:lang w:val="en-US" w:eastAsia="zh-CN"/>
        </w:rPr>
        <w:t xml:space="preserve"> 0   </w:t>
      </w:r>
      <w:r>
        <w:rPr>
          <w:rFonts w:hint="eastAsia" w:ascii="仿宋_GB2312"/>
          <w:bCs/>
          <w:kern w:val="44"/>
          <w:szCs w:val="32"/>
          <w:highlight w:val="none"/>
          <w:u w:val="none"/>
          <w:lang w:val="en-US" w:eastAsia="zh-CN"/>
        </w:rPr>
        <w:t>万元，</w:t>
      </w:r>
      <w:r>
        <w:rPr>
          <w:rFonts w:hint="eastAsia" w:ascii="仿宋_GB2312" w:eastAsia="仿宋_GB2312"/>
          <w:bCs/>
          <w:kern w:val="44"/>
          <w:szCs w:val="32"/>
          <w:highlight w:val="none"/>
        </w:rPr>
        <w:t>占本年支出</w:t>
      </w:r>
      <w:r>
        <w:rPr>
          <w:rFonts w:hint="eastAsia" w:ascii="仿宋_GB2312" w:eastAsia="仿宋_GB2312"/>
          <w:bCs/>
          <w:kern w:val="44"/>
          <w:szCs w:val="32"/>
          <w:highlight w:val="none"/>
          <w:u w:val="single"/>
        </w:rPr>
        <w:t xml:space="preserve"> </w:t>
      </w:r>
      <w:r>
        <w:rPr>
          <w:rFonts w:hint="eastAsia" w:ascii="仿宋_GB2312"/>
          <w:bCs/>
          <w:kern w:val="44"/>
          <w:szCs w:val="32"/>
          <w:highlight w:val="none"/>
          <w:u w:val="single"/>
          <w:lang w:val="en-US" w:eastAsia="zh-CN"/>
        </w:rPr>
        <w:t>0</w:t>
      </w:r>
      <w:r>
        <w:rPr>
          <w:rFonts w:hint="eastAsia" w:ascii="仿宋_GB2312" w:eastAsia="仿宋_GB2312"/>
          <w:bCs/>
          <w:kern w:val="44"/>
          <w:szCs w:val="32"/>
          <w:highlight w:val="none"/>
          <w:u w:val="single"/>
        </w:rPr>
        <w:t xml:space="preserve">   </w:t>
      </w:r>
      <w:r>
        <w:rPr>
          <w:rFonts w:hint="eastAsia" w:ascii="仿宋_GB2312" w:eastAsia="仿宋_GB2312"/>
          <w:bCs/>
          <w:kern w:val="44"/>
          <w:szCs w:val="32"/>
          <w:highlight w:val="none"/>
        </w:rPr>
        <w:t>%。</w:t>
      </w:r>
      <w:r>
        <w:rPr>
          <w:rFonts w:hint="eastAsia" w:ascii="仿宋_GB2312"/>
          <w:bCs/>
          <w:kern w:val="44"/>
          <w:szCs w:val="32"/>
          <w:highlight w:val="none"/>
          <w:lang w:val="en-US" w:eastAsia="zh-CN"/>
        </w:rPr>
        <w:t>预算支出科目为工资福利支出，商品与服务支出、对个人和家庭的补助支出，其他支出。</w:t>
      </w:r>
    </w:p>
    <w:p w14:paraId="152967A2">
      <w:pPr>
        <w:bidi w:val="0"/>
        <w:ind w:firstLine="640" w:firstLineChars="200"/>
        <w:rPr>
          <w:rFonts w:hint="eastAsia" w:ascii="黑体" w:hAnsi="黑体" w:eastAsia="黑体" w:cs="黑体"/>
          <w:lang w:val="en-US" w:eastAsia="zh-CN"/>
        </w:rPr>
      </w:pPr>
      <w:r>
        <w:rPr>
          <w:rFonts w:hint="eastAsia" w:ascii="黑体" w:hAnsi="黑体" w:eastAsia="黑体" w:cs="黑体"/>
          <w:lang w:val="en-US" w:eastAsia="zh-CN"/>
        </w:rPr>
        <w:t>四、财政拨款收入支出决算总体情况说明</w:t>
      </w:r>
    </w:p>
    <w:p w14:paraId="2ADF5562">
      <w:pPr>
        <w:bidi w:val="0"/>
        <w:ind w:firstLine="640" w:firstLineChars="200"/>
        <w:rPr>
          <w:rFonts w:hint="eastAsia"/>
        </w:rPr>
      </w:pPr>
      <w:r>
        <w:rPr>
          <w:rFonts w:hint="eastAsia"/>
          <w:lang w:eastAsia="zh-CN"/>
        </w:rPr>
        <w:t>202</w:t>
      </w:r>
      <w:r>
        <w:rPr>
          <w:rFonts w:hint="eastAsia"/>
          <w:lang w:val="en-US" w:eastAsia="zh-CN"/>
        </w:rPr>
        <w:t>2</w:t>
      </w:r>
      <w:r>
        <w:rPr>
          <w:rFonts w:hint="eastAsia"/>
          <w:lang w:eastAsia="zh-CN"/>
        </w:rPr>
        <w:t>年</w:t>
      </w:r>
      <w:r>
        <w:rPr>
          <w:rFonts w:hint="eastAsia"/>
        </w:rPr>
        <w:t>度财政拨款收、支总计</w:t>
      </w:r>
      <w:r>
        <w:rPr>
          <w:rFonts w:hint="eastAsia"/>
          <w:lang w:val="en-US" w:eastAsia="zh-CN"/>
        </w:rPr>
        <w:t>均为</w:t>
      </w:r>
      <w:r>
        <w:rPr>
          <w:rFonts w:hint="eastAsia"/>
          <w:u w:val="single"/>
          <w:lang w:val="en-US" w:eastAsia="zh-CN"/>
        </w:rPr>
        <w:t xml:space="preserve">  2089.16  </w:t>
      </w:r>
      <w:r>
        <w:rPr>
          <w:rFonts w:hint="eastAsia"/>
        </w:rPr>
        <w:t>万元。与</w:t>
      </w:r>
      <w:r>
        <w:rPr>
          <w:rFonts w:hint="eastAsia"/>
          <w:lang w:eastAsia="zh-CN"/>
        </w:rPr>
        <w:t>202</w:t>
      </w:r>
      <w:r>
        <w:rPr>
          <w:rFonts w:hint="eastAsia"/>
          <w:lang w:val="en-US" w:eastAsia="zh-CN"/>
        </w:rPr>
        <w:t>1</w:t>
      </w:r>
      <w:r>
        <w:rPr>
          <w:rFonts w:hint="eastAsia"/>
          <w:lang w:eastAsia="zh-CN"/>
        </w:rPr>
        <w:t>年度</w:t>
      </w:r>
      <w:r>
        <w:rPr>
          <w:rFonts w:hint="eastAsia"/>
        </w:rPr>
        <w:t>相比，财政拨款收、支总计各</w:t>
      </w:r>
      <w:r>
        <w:rPr>
          <w:rFonts w:hint="eastAsia"/>
          <w:lang w:val="en-US" w:eastAsia="zh-CN"/>
        </w:rPr>
        <w:t>减少</w:t>
      </w:r>
      <w:r>
        <w:rPr>
          <w:rFonts w:hint="eastAsia"/>
          <w:u w:val="single"/>
          <w:lang w:val="en-US" w:eastAsia="zh-CN"/>
        </w:rPr>
        <w:t xml:space="preserve">  1399.63  </w:t>
      </w:r>
      <w:r>
        <w:rPr>
          <w:rFonts w:hint="eastAsia"/>
        </w:rPr>
        <w:t>万元，</w:t>
      </w:r>
      <w:r>
        <w:rPr>
          <w:rFonts w:hint="eastAsia"/>
          <w:lang w:val="en-US" w:eastAsia="zh-CN"/>
        </w:rPr>
        <w:t>下降</w:t>
      </w:r>
      <w:r>
        <w:rPr>
          <w:rFonts w:hint="eastAsia"/>
        </w:rPr>
        <w:t xml:space="preserve"> </w:t>
      </w:r>
      <w:r>
        <w:rPr>
          <w:rFonts w:hint="eastAsia"/>
          <w:u w:val="single"/>
          <w:lang w:val="en-US" w:eastAsia="zh-CN"/>
        </w:rPr>
        <w:t xml:space="preserve">  67  </w:t>
      </w:r>
      <w:r>
        <w:rPr>
          <w:rFonts w:hint="eastAsia"/>
        </w:rPr>
        <w:t>%。主要原因是</w:t>
      </w:r>
      <w:r>
        <w:rPr>
          <w:rFonts w:hint="eastAsia"/>
          <w:lang w:val="en-US" w:eastAsia="zh-CN"/>
        </w:rPr>
        <w:t>项目支出财政拨款的减少</w:t>
      </w:r>
      <w:r>
        <w:rPr>
          <w:rFonts w:hint="eastAsia"/>
        </w:rPr>
        <w:t>。</w:t>
      </w:r>
    </w:p>
    <w:p w14:paraId="64463D73">
      <w:pPr>
        <w:bidi w:val="0"/>
        <w:ind w:firstLine="640" w:firstLineChars="200"/>
        <w:rPr>
          <w:rFonts w:hint="eastAsia"/>
          <w:lang w:val="en-US" w:eastAsia="zh-CN"/>
        </w:rPr>
      </w:pPr>
      <w:r>
        <w:rPr>
          <w:rFonts w:hint="eastAsia"/>
          <w:lang w:val="en-US" w:eastAsia="zh-CN"/>
        </w:rPr>
        <w:t>2022年度财政拨款收入中，一般公共预算财政拨款收入</w:t>
      </w:r>
      <w:r>
        <w:rPr>
          <w:rFonts w:hint="eastAsia"/>
          <w:u w:val="single"/>
          <w:lang w:val="en-US" w:eastAsia="zh-CN"/>
        </w:rPr>
        <w:t xml:space="preserve">    2089.16</w:t>
      </w:r>
      <w:r>
        <w:rPr>
          <w:rFonts w:hint="eastAsia"/>
        </w:rPr>
        <w:t>万元</w:t>
      </w:r>
      <w:r>
        <w:rPr>
          <w:rFonts w:hint="eastAsia"/>
          <w:lang w:eastAsia="zh-CN"/>
        </w:rPr>
        <w:t>，比</w:t>
      </w:r>
      <w:r>
        <w:rPr>
          <w:rFonts w:hint="eastAsia"/>
          <w:lang w:val="en-US" w:eastAsia="zh-CN"/>
        </w:rPr>
        <w:t>2021年度决算数减少</w:t>
      </w:r>
      <w:r>
        <w:rPr>
          <w:rFonts w:hint="eastAsia"/>
          <w:u w:val="single"/>
          <w:lang w:val="en-US" w:eastAsia="zh-CN"/>
        </w:rPr>
        <w:t xml:space="preserve"> 1399.63   </w:t>
      </w:r>
      <w:r>
        <w:rPr>
          <w:rFonts w:hint="eastAsia"/>
          <w:u w:val="none"/>
          <w:lang w:val="en-US" w:eastAsia="zh-CN"/>
        </w:rPr>
        <w:t>万元</w:t>
      </w:r>
      <w:r>
        <w:rPr>
          <w:rFonts w:hint="eastAsia" w:ascii="仿宋_GB2312" w:hAnsi="宋体"/>
          <w:bCs/>
          <w:szCs w:val="32"/>
          <w:highlight w:val="none"/>
          <w:lang w:val="en-US" w:eastAsia="zh-CN"/>
        </w:rPr>
        <w:t>。减少的</w:t>
      </w:r>
      <w:r>
        <w:rPr>
          <w:rFonts w:hint="eastAsia"/>
        </w:rPr>
        <w:t>主要原因是</w:t>
      </w:r>
      <w:r>
        <w:rPr>
          <w:rFonts w:hint="eastAsia"/>
          <w:lang w:val="en-US" w:eastAsia="zh-CN"/>
        </w:rPr>
        <w:t>项目支出收入的减少</w:t>
      </w:r>
      <w:r>
        <w:rPr>
          <w:rFonts w:hint="eastAsia"/>
        </w:rPr>
        <w:t>。</w:t>
      </w:r>
      <w:r>
        <w:rPr>
          <w:rFonts w:hint="eastAsia"/>
          <w:lang w:eastAsia="zh-CN"/>
        </w:rPr>
        <w:t>政府性基金预算财政拨款收入</w:t>
      </w:r>
      <w:r>
        <w:rPr>
          <w:rFonts w:hint="eastAsia"/>
          <w:u w:val="single"/>
          <w:lang w:val="en-US" w:eastAsia="zh-CN"/>
        </w:rPr>
        <w:t xml:space="preserve">  0  </w:t>
      </w:r>
      <w:r>
        <w:rPr>
          <w:rFonts w:hint="eastAsia"/>
          <w:u w:val="none"/>
          <w:lang w:val="en-US" w:eastAsia="zh-CN"/>
        </w:rPr>
        <w:t>万元，</w:t>
      </w:r>
      <w:r>
        <w:rPr>
          <w:rFonts w:hint="eastAsia"/>
          <w:lang w:eastAsia="zh-CN"/>
        </w:rPr>
        <w:t>比</w:t>
      </w:r>
      <w:r>
        <w:rPr>
          <w:rFonts w:hint="eastAsia"/>
          <w:lang w:val="en-US" w:eastAsia="zh-CN"/>
        </w:rPr>
        <w:t>2021年度决算数增加</w:t>
      </w:r>
      <w:r>
        <w:rPr>
          <w:rFonts w:hint="eastAsia"/>
          <w:u w:val="single"/>
          <w:lang w:val="en-US" w:eastAsia="zh-CN"/>
        </w:rPr>
        <w:t xml:space="preserve">  0  </w:t>
      </w:r>
      <w:r>
        <w:rPr>
          <w:rFonts w:hint="eastAsia"/>
          <w:u w:val="none"/>
          <w:lang w:val="en-US" w:eastAsia="zh-CN"/>
        </w:rPr>
        <w:t>万元</w:t>
      </w:r>
      <w:r>
        <w:rPr>
          <w:rFonts w:hint="eastAsia" w:ascii="仿宋_GB2312" w:hAnsi="宋体"/>
          <w:bCs/>
          <w:szCs w:val="32"/>
          <w:highlight w:val="none"/>
          <w:lang w:val="en-US" w:eastAsia="zh-CN"/>
        </w:rPr>
        <w:t>。末增加减少的</w:t>
      </w:r>
      <w:r>
        <w:rPr>
          <w:rFonts w:hint="eastAsia"/>
        </w:rPr>
        <w:t>主要原因是</w:t>
      </w:r>
      <w:r>
        <w:rPr>
          <w:rFonts w:hint="eastAsia"/>
          <w:lang w:val="en-US" w:eastAsia="zh-CN"/>
        </w:rPr>
        <w:t>市财政末安排增加减少</w:t>
      </w:r>
      <w:r>
        <w:rPr>
          <w:rFonts w:hint="eastAsia"/>
        </w:rPr>
        <w:t>。国有资本经营预算财政拨款收入</w:t>
      </w:r>
      <w:r>
        <w:rPr>
          <w:rFonts w:hint="eastAsia"/>
          <w:u w:val="single"/>
          <w:lang w:val="en-US" w:eastAsia="zh-CN"/>
        </w:rPr>
        <w:t xml:space="preserve">  0.13 </w:t>
      </w:r>
      <w:r>
        <w:rPr>
          <w:rFonts w:hint="eastAsia"/>
          <w:u w:val="none"/>
          <w:lang w:val="en-US" w:eastAsia="zh-CN"/>
        </w:rPr>
        <w:t>万元，与</w:t>
      </w:r>
      <w:r>
        <w:rPr>
          <w:rFonts w:hint="eastAsia"/>
          <w:lang w:val="en-US" w:eastAsia="zh-CN"/>
        </w:rPr>
        <w:t>2021年度决算数增持平</w:t>
      </w:r>
      <w:r>
        <w:rPr>
          <w:rFonts w:hint="eastAsia"/>
        </w:rPr>
        <w:t>。</w:t>
      </w:r>
    </w:p>
    <w:p w14:paraId="31ED6324">
      <w:pPr>
        <w:numPr>
          <w:ilvl w:val="0"/>
          <w:numId w:val="0"/>
        </w:numPr>
        <w:bidi w:val="0"/>
        <w:ind w:firstLine="640" w:firstLineChars="200"/>
        <w:rPr>
          <w:rFonts w:hint="eastAsia" w:ascii="黑体" w:hAnsi="黑体" w:eastAsia="黑体" w:cs="黑体"/>
          <w:lang w:val="en-US" w:eastAsia="zh-CN"/>
        </w:rPr>
      </w:pPr>
      <w:r>
        <w:rPr>
          <w:rFonts w:hint="eastAsia" w:ascii="黑体" w:hAnsi="黑体" w:eastAsia="黑体" w:cs="黑体"/>
          <w:lang w:val="en-US" w:eastAsia="zh-CN"/>
        </w:rPr>
        <w:t>五、一般公共预算财政拨款支出决算情况说明</w:t>
      </w:r>
    </w:p>
    <w:p w14:paraId="68270D05">
      <w:pPr>
        <w:pageBreakBefore w:val="0"/>
        <w:widowControl w:val="0"/>
        <w:kinsoku/>
        <w:wordWrap/>
        <w:overflowPunct/>
        <w:topLinePunct w:val="0"/>
        <w:bidi w:val="0"/>
        <w:adjustRightInd w:val="0"/>
        <w:snapToGrid w:val="0"/>
        <w:spacing w:line="360" w:lineRule="auto"/>
        <w:ind w:firstLine="640" w:firstLineChars="200"/>
        <w:textAlignment w:val="auto"/>
        <w:rPr>
          <w:rFonts w:hint="eastAsia" w:ascii="楷体_GB2312" w:hAnsi="楷体_GB2312" w:eastAsia="楷体_GB2312" w:cs="楷体_GB2312"/>
          <w:bCs/>
          <w:kern w:val="44"/>
          <w:sz w:val="32"/>
          <w:szCs w:val="32"/>
          <w:highlight w:val="none"/>
        </w:rPr>
      </w:pPr>
      <w:r>
        <w:rPr>
          <w:rFonts w:hint="eastAsia" w:ascii="楷体_GB2312" w:hAnsi="楷体_GB2312" w:eastAsia="楷体_GB2312" w:cs="楷体_GB2312"/>
          <w:bCs/>
          <w:kern w:val="44"/>
          <w:sz w:val="32"/>
          <w:szCs w:val="32"/>
          <w:highlight w:val="none"/>
        </w:rPr>
        <w:t>（一）</w:t>
      </w:r>
      <w:r>
        <w:rPr>
          <w:rFonts w:hint="eastAsia" w:ascii="楷体_GB2312" w:hAnsi="楷体_GB2312" w:eastAsia="楷体_GB2312" w:cs="楷体_GB2312"/>
          <w:bCs/>
          <w:kern w:val="44"/>
          <w:sz w:val="32"/>
          <w:szCs w:val="32"/>
          <w:highlight w:val="none"/>
          <w:lang w:eastAsia="zh-CN"/>
        </w:rPr>
        <w:t>一般公共预算</w:t>
      </w:r>
      <w:r>
        <w:rPr>
          <w:rFonts w:hint="eastAsia" w:ascii="楷体_GB2312" w:hAnsi="楷体_GB2312" w:eastAsia="楷体_GB2312" w:cs="楷体_GB2312"/>
          <w:bCs/>
          <w:kern w:val="44"/>
          <w:sz w:val="32"/>
          <w:szCs w:val="32"/>
          <w:highlight w:val="none"/>
        </w:rPr>
        <w:t>财政拨款支出决算总体情况。</w:t>
      </w:r>
    </w:p>
    <w:p w14:paraId="12257CB7">
      <w:pPr>
        <w:pageBreakBefore w:val="0"/>
        <w:widowControl w:val="0"/>
        <w:kinsoku/>
        <w:wordWrap/>
        <w:overflowPunct/>
        <w:topLinePunct w:val="0"/>
        <w:bidi w:val="0"/>
        <w:adjustRightInd w:val="0"/>
        <w:snapToGrid w:val="0"/>
        <w:spacing w:line="360" w:lineRule="auto"/>
        <w:ind w:firstLine="640" w:firstLineChars="200"/>
        <w:textAlignment w:val="auto"/>
        <w:rPr>
          <w:rFonts w:hint="eastAsia" w:ascii="仿宋_GB2312" w:eastAsia="仿宋_GB2312"/>
          <w:bCs/>
          <w:kern w:val="44"/>
          <w:sz w:val="32"/>
          <w:szCs w:val="32"/>
          <w:highlight w:val="none"/>
        </w:rPr>
      </w:pPr>
      <w:r>
        <w:rPr>
          <w:rFonts w:hint="eastAsia" w:ascii="仿宋_GB2312"/>
          <w:bCs/>
          <w:kern w:val="44"/>
          <w:sz w:val="32"/>
          <w:szCs w:val="32"/>
          <w:highlight w:val="none"/>
          <w:lang w:eastAsia="zh-CN"/>
        </w:rPr>
        <w:t>202</w:t>
      </w:r>
      <w:r>
        <w:rPr>
          <w:rFonts w:hint="eastAsia" w:ascii="仿宋_GB2312"/>
          <w:bCs/>
          <w:kern w:val="44"/>
          <w:sz w:val="32"/>
          <w:szCs w:val="32"/>
          <w:highlight w:val="none"/>
          <w:lang w:val="en-US" w:eastAsia="zh-CN"/>
        </w:rPr>
        <w:t>2</w:t>
      </w:r>
      <w:r>
        <w:rPr>
          <w:rFonts w:hint="eastAsia" w:ascii="仿宋_GB2312" w:hAnsi="仿宋_GB2312" w:eastAsia="仿宋_GB2312" w:cs="仿宋_GB2312"/>
          <w:bCs/>
          <w:kern w:val="44"/>
          <w:sz w:val="32"/>
          <w:szCs w:val="32"/>
          <w:highlight w:val="none"/>
          <w:lang w:eastAsia="zh-CN"/>
        </w:rPr>
        <w:t>年</w:t>
      </w:r>
      <w:r>
        <w:rPr>
          <w:rFonts w:hint="eastAsia" w:ascii="仿宋_GB2312" w:hAnsi="仿宋_GB2312" w:eastAsia="仿宋_GB2312" w:cs="仿宋_GB2312"/>
          <w:bCs/>
          <w:kern w:val="44"/>
          <w:sz w:val="32"/>
          <w:szCs w:val="32"/>
          <w:highlight w:val="none"/>
        </w:rPr>
        <w:t>度</w:t>
      </w:r>
      <w:r>
        <w:rPr>
          <w:rFonts w:hint="eastAsia" w:ascii="仿宋_GB2312" w:hAnsi="仿宋_GB2312" w:eastAsia="仿宋_GB2312" w:cs="仿宋_GB2312"/>
          <w:bCs/>
          <w:kern w:val="44"/>
          <w:sz w:val="32"/>
          <w:szCs w:val="32"/>
          <w:highlight w:val="none"/>
          <w:lang w:eastAsia="zh-CN"/>
        </w:rPr>
        <w:t>一般公共预算</w:t>
      </w:r>
      <w:r>
        <w:rPr>
          <w:rFonts w:hint="eastAsia" w:ascii="仿宋_GB2312" w:hAnsi="仿宋_GB2312" w:eastAsia="仿宋_GB2312" w:cs="仿宋_GB2312"/>
          <w:bCs/>
          <w:kern w:val="44"/>
          <w:sz w:val="32"/>
          <w:szCs w:val="32"/>
          <w:highlight w:val="none"/>
        </w:rPr>
        <w:t>财政拨</w:t>
      </w:r>
      <w:r>
        <w:rPr>
          <w:rFonts w:hint="eastAsia" w:ascii="仿宋_GB2312" w:eastAsia="仿宋_GB2312"/>
          <w:bCs/>
          <w:kern w:val="44"/>
          <w:sz w:val="32"/>
          <w:szCs w:val="32"/>
          <w:highlight w:val="none"/>
        </w:rPr>
        <w:t>款支出</w:t>
      </w:r>
      <w:r>
        <w:rPr>
          <w:rFonts w:hint="eastAsia" w:ascii="仿宋_GB2312" w:eastAsia="仿宋_GB2312"/>
          <w:bCs/>
          <w:kern w:val="44"/>
          <w:sz w:val="32"/>
          <w:szCs w:val="32"/>
          <w:highlight w:val="none"/>
          <w:u w:val="single"/>
        </w:rPr>
        <w:t xml:space="preserve">  </w:t>
      </w:r>
      <w:r>
        <w:rPr>
          <w:rFonts w:hint="eastAsia" w:ascii="仿宋_GB2312"/>
          <w:bCs/>
          <w:kern w:val="44"/>
          <w:sz w:val="32"/>
          <w:szCs w:val="32"/>
          <w:highlight w:val="none"/>
          <w:u w:val="single"/>
          <w:lang w:val="en-US" w:eastAsia="zh-CN"/>
        </w:rPr>
        <w:t>2089.16</w:t>
      </w:r>
      <w:r>
        <w:rPr>
          <w:rFonts w:hint="eastAsia" w:ascii="仿宋_GB2312" w:eastAsia="仿宋_GB2312"/>
          <w:bCs/>
          <w:kern w:val="44"/>
          <w:sz w:val="32"/>
          <w:szCs w:val="32"/>
          <w:highlight w:val="none"/>
          <w:u w:val="single"/>
        </w:rPr>
        <w:t xml:space="preserve">    </w:t>
      </w:r>
      <w:r>
        <w:rPr>
          <w:rFonts w:hint="eastAsia" w:ascii="仿宋_GB2312" w:eastAsia="仿宋_GB2312"/>
          <w:bCs/>
          <w:kern w:val="44"/>
          <w:sz w:val="32"/>
          <w:szCs w:val="32"/>
          <w:highlight w:val="none"/>
        </w:rPr>
        <w:t>万元，占本年支出合计的</w:t>
      </w:r>
      <w:r>
        <w:rPr>
          <w:rFonts w:hint="eastAsia" w:ascii="仿宋_GB2312" w:eastAsia="仿宋_GB2312"/>
          <w:bCs/>
          <w:kern w:val="44"/>
          <w:sz w:val="32"/>
          <w:szCs w:val="32"/>
          <w:highlight w:val="none"/>
          <w:u w:val="single"/>
        </w:rPr>
        <w:t xml:space="preserve">  </w:t>
      </w:r>
      <w:r>
        <w:rPr>
          <w:rFonts w:hint="eastAsia" w:ascii="仿宋_GB2312"/>
          <w:bCs/>
          <w:kern w:val="44"/>
          <w:sz w:val="32"/>
          <w:szCs w:val="32"/>
          <w:highlight w:val="none"/>
          <w:u w:val="single"/>
          <w:lang w:val="en-US" w:eastAsia="zh-CN"/>
        </w:rPr>
        <w:t>83.7</w:t>
      </w:r>
      <w:r>
        <w:rPr>
          <w:rFonts w:hint="eastAsia" w:ascii="仿宋_GB2312" w:eastAsia="仿宋_GB2312"/>
          <w:bCs/>
          <w:kern w:val="44"/>
          <w:sz w:val="32"/>
          <w:szCs w:val="32"/>
          <w:highlight w:val="none"/>
          <w:u w:val="single"/>
        </w:rPr>
        <w:t xml:space="preserve">   </w:t>
      </w:r>
      <w:r>
        <w:rPr>
          <w:rFonts w:hint="eastAsia" w:ascii="仿宋_GB2312" w:eastAsia="仿宋_GB2312"/>
          <w:bCs/>
          <w:kern w:val="44"/>
          <w:sz w:val="32"/>
          <w:szCs w:val="32"/>
          <w:highlight w:val="none"/>
        </w:rPr>
        <w:t xml:space="preserve"> %。与</w:t>
      </w:r>
      <w:r>
        <w:rPr>
          <w:rFonts w:hint="eastAsia" w:ascii="仿宋_GB2312"/>
          <w:bCs/>
          <w:kern w:val="44"/>
          <w:sz w:val="32"/>
          <w:szCs w:val="32"/>
          <w:highlight w:val="none"/>
          <w:lang w:eastAsia="zh-CN"/>
        </w:rPr>
        <w:t>202</w:t>
      </w:r>
      <w:r>
        <w:rPr>
          <w:rFonts w:hint="eastAsia" w:ascii="仿宋_GB2312"/>
          <w:bCs/>
          <w:kern w:val="44"/>
          <w:sz w:val="32"/>
          <w:szCs w:val="32"/>
          <w:highlight w:val="none"/>
          <w:lang w:val="en-US" w:eastAsia="zh-CN"/>
        </w:rPr>
        <w:t>1</w:t>
      </w:r>
      <w:r>
        <w:rPr>
          <w:rFonts w:hint="eastAsia" w:ascii="仿宋_GB2312"/>
          <w:bCs/>
          <w:kern w:val="44"/>
          <w:sz w:val="32"/>
          <w:szCs w:val="32"/>
          <w:highlight w:val="none"/>
          <w:lang w:eastAsia="zh-CN"/>
        </w:rPr>
        <w:t>年</w:t>
      </w:r>
      <w:r>
        <w:rPr>
          <w:rFonts w:hint="eastAsia" w:ascii="仿宋_GB2312" w:eastAsia="仿宋_GB2312"/>
          <w:bCs/>
          <w:kern w:val="44"/>
          <w:sz w:val="32"/>
          <w:szCs w:val="32"/>
          <w:highlight w:val="none"/>
          <w:lang w:eastAsia="zh-CN"/>
        </w:rPr>
        <w:t>度</w:t>
      </w:r>
      <w:r>
        <w:rPr>
          <w:rFonts w:hint="eastAsia" w:ascii="仿宋_GB2312" w:eastAsia="仿宋_GB2312"/>
          <w:bCs/>
          <w:kern w:val="44"/>
          <w:sz w:val="32"/>
          <w:szCs w:val="32"/>
          <w:highlight w:val="none"/>
        </w:rPr>
        <w:t>相比，</w:t>
      </w:r>
      <w:r>
        <w:rPr>
          <w:rFonts w:hint="eastAsia" w:ascii="仿宋_GB2312" w:hAnsi="仿宋_GB2312" w:eastAsia="仿宋_GB2312" w:cs="仿宋_GB2312"/>
          <w:bCs/>
          <w:kern w:val="44"/>
          <w:sz w:val="32"/>
          <w:szCs w:val="32"/>
          <w:highlight w:val="none"/>
          <w:lang w:eastAsia="zh-CN"/>
        </w:rPr>
        <w:t>一般公共预算</w:t>
      </w:r>
      <w:r>
        <w:rPr>
          <w:rFonts w:hint="eastAsia" w:ascii="仿宋_GB2312" w:eastAsia="仿宋_GB2312"/>
          <w:bCs/>
          <w:kern w:val="44"/>
          <w:sz w:val="32"/>
          <w:szCs w:val="32"/>
          <w:highlight w:val="none"/>
        </w:rPr>
        <w:t>财政拨款支出</w:t>
      </w:r>
      <w:r>
        <w:rPr>
          <w:rFonts w:hint="eastAsia" w:ascii="仿宋_GB2312"/>
          <w:bCs/>
          <w:kern w:val="44"/>
          <w:sz w:val="32"/>
          <w:szCs w:val="32"/>
          <w:highlight w:val="none"/>
          <w:lang w:val="en-US" w:eastAsia="zh-CN"/>
        </w:rPr>
        <w:t>减少</w:t>
      </w:r>
      <w:r>
        <w:rPr>
          <w:rFonts w:hint="eastAsia" w:ascii="仿宋_GB2312" w:eastAsia="仿宋_GB2312"/>
          <w:bCs/>
          <w:kern w:val="44"/>
          <w:sz w:val="32"/>
          <w:szCs w:val="32"/>
          <w:highlight w:val="none"/>
          <w:u w:val="single"/>
        </w:rPr>
        <w:t xml:space="preserve">  </w:t>
      </w:r>
      <w:r>
        <w:rPr>
          <w:rFonts w:hint="eastAsia" w:ascii="仿宋_GB2312"/>
          <w:bCs/>
          <w:kern w:val="44"/>
          <w:sz w:val="32"/>
          <w:szCs w:val="32"/>
          <w:highlight w:val="none"/>
          <w:u w:val="single"/>
          <w:lang w:val="en-US" w:eastAsia="zh-CN"/>
        </w:rPr>
        <w:t>1399.63</w:t>
      </w:r>
      <w:r>
        <w:rPr>
          <w:rFonts w:hint="eastAsia" w:ascii="仿宋_GB2312" w:eastAsia="仿宋_GB2312"/>
          <w:bCs/>
          <w:kern w:val="44"/>
          <w:sz w:val="32"/>
          <w:szCs w:val="32"/>
          <w:highlight w:val="none"/>
          <w:u w:val="single"/>
        </w:rPr>
        <w:t xml:space="preserve">  </w:t>
      </w:r>
      <w:r>
        <w:rPr>
          <w:rFonts w:hint="eastAsia" w:ascii="仿宋_GB2312" w:eastAsia="仿宋_GB2312"/>
          <w:bCs/>
          <w:kern w:val="44"/>
          <w:sz w:val="32"/>
          <w:szCs w:val="32"/>
          <w:highlight w:val="none"/>
        </w:rPr>
        <w:t>万元，</w:t>
      </w:r>
      <w:r>
        <w:rPr>
          <w:rFonts w:hint="eastAsia" w:ascii="仿宋_GB2312" w:eastAsia="仿宋_GB2312"/>
          <w:bCs/>
          <w:kern w:val="44"/>
          <w:sz w:val="32"/>
          <w:szCs w:val="32"/>
          <w:highlight w:val="none"/>
          <w:lang w:eastAsia="zh-CN"/>
        </w:rPr>
        <w:t>下降</w:t>
      </w:r>
      <w:r>
        <w:rPr>
          <w:rFonts w:hint="eastAsia" w:ascii="仿宋_GB2312" w:eastAsia="仿宋_GB2312"/>
          <w:bCs/>
          <w:kern w:val="44"/>
          <w:sz w:val="32"/>
          <w:szCs w:val="32"/>
          <w:highlight w:val="none"/>
          <w:u w:val="single"/>
        </w:rPr>
        <w:t xml:space="preserve"> </w:t>
      </w:r>
      <w:r>
        <w:rPr>
          <w:rFonts w:hint="eastAsia" w:ascii="仿宋_GB2312"/>
          <w:bCs/>
          <w:kern w:val="44"/>
          <w:sz w:val="32"/>
          <w:szCs w:val="32"/>
          <w:highlight w:val="none"/>
          <w:u w:val="single"/>
          <w:lang w:val="en-US" w:eastAsia="zh-CN"/>
        </w:rPr>
        <w:t>67</w:t>
      </w:r>
      <w:r>
        <w:rPr>
          <w:rFonts w:hint="eastAsia" w:ascii="仿宋_GB2312" w:eastAsia="仿宋_GB2312"/>
          <w:bCs/>
          <w:kern w:val="44"/>
          <w:sz w:val="32"/>
          <w:szCs w:val="32"/>
          <w:highlight w:val="none"/>
          <w:u w:val="single"/>
        </w:rPr>
        <w:t xml:space="preserve">   </w:t>
      </w:r>
      <w:r>
        <w:rPr>
          <w:rFonts w:hint="eastAsia" w:ascii="仿宋_GB2312" w:eastAsia="仿宋_GB2312"/>
          <w:bCs/>
          <w:kern w:val="44"/>
          <w:sz w:val="32"/>
          <w:szCs w:val="32"/>
          <w:highlight w:val="none"/>
        </w:rPr>
        <w:t>%。主要原因是</w:t>
      </w:r>
      <w:r>
        <w:rPr>
          <w:rFonts w:hint="eastAsia" w:ascii="仿宋_GB2312"/>
          <w:bCs/>
          <w:kern w:val="44"/>
          <w:sz w:val="32"/>
          <w:szCs w:val="32"/>
          <w:highlight w:val="none"/>
          <w:lang w:val="en-US" w:eastAsia="zh-CN"/>
        </w:rPr>
        <w:t>项目支出的减少</w:t>
      </w:r>
      <w:r>
        <w:rPr>
          <w:rFonts w:hint="eastAsia" w:ascii="仿宋_GB2312" w:eastAsia="仿宋_GB2312"/>
          <w:bCs/>
          <w:kern w:val="44"/>
          <w:sz w:val="32"/>
          <w:szCs w:val="32"/>
          <w:highlight w:val="none"/>
        </w:rPr>
        <w:t>。</w:t>
      </w:r>
    </w:p>
    <w:p w14:paraId="504C348A">
      <w:pPr>
        <w:pageBreakBefore w:val="0"/>
        <w:widowControl w:val="0"/>
        <w:numPr>
          <w:ilvl w:val="0"/>
          <w:numId w:val="0"/>
        </w:numPr>
        <w:kinsoku/>
        <w:wordWrap/>
        <w:overflowPunct/>
        <w:topLinePunct w:val="0"/>
        <w:bidi w:val="0"/>
        <w:adjustRightInd w:val="0"/>
        <w:snapToGrid w:val="0"/>
        <w:spacing w:line="360" w:lineRule="auto"/>
        <w:ind w:firstLine="640" w:firstLineChars="200"/>
        <w:textAlignment w:val="auto"/>
        <w:rPr>
          <w:rFonts w:hint="eastAsia" w:ascii="楷体_GB2312" w:hAnsi="楷体_GB2312" w:eastAsia="楷体_GB2312" w:cs="楷体_GB2312"/>
          <w:bCs/>
          <w:kern w:val="44"/>
          <w:sz w:val="32"/>
          <w:szCs w:val="32"/>
          <w:highlight w:val="none"/>
        </w:rPr>
      </w:pPr>
      <w:r>
        <w:rPr>
          <w:rFonts w:hint="eastAsia" w:ascii="楷体_GB2312" w:hAnsi="楷体_GB2312" w:eastAsia="楷体_GB2312" w:cs="楷体_GB2312"/>
          <w:bCs/>
          <w:kern w:val="44"/>
          <w:sz w:val="32"/>
          <w:szCs w:val="32"/>
          <w:highlight w:val="none"/>
          <w:lang w:eastAsia="zh-CN"/>
        </w:rPr>
        <w:t>（二）一般公共预算</w:t>
      </w:r>
      <w:r>
        <w:rPr>
          <w:rFonts w:hint="eastAsia" w:ascii="楷体_GB2312" w:hAnsi="楷体_GB2312" w:eastAsia="楷体_GB2312" w:cs="楷体_GB2312"/>
          <w:bCs/>
          <w:kern w:val="44"/>
          <w:sz w:val="32"/>
          <w:szCs w:val="32"/>
          <w:highlight w:val="none"/>
        </w:rPr>
        <w:t>财政拨款支出决算结构情况。</w:t>
      </w:r>
    </w:p>
    <w:p w14:paraId="47DBA86F">
      <w:pPr>
        <w:pageBreakBefore w:val="0"/>
        <w:widowControl w:val="0"/>
        <w:numPr>
          <w:ilvl w:val="0"/>
          <w:numId w:val="0"/>
        </w:numPr>
        <w:kinsoku/>
        <w:wordWrap/>
        <w:overflowPunct/>
        <w:topLinePunct w:val="0"/>
        <w:bidi w:val="0"/>
        <w:adjustRightInd w:val="0"/>
        <w:snapToGrid w:val="0"/>
        <w:spacing w:line="360" w:lineRule="auto"/>
        <w:ind w:firstLine="640" w:firstLineChars="200"/>
        <w:textAlignment w:val="auto"/>
        <w:rPr>
          <w:rFonts w:hint="eastAsia" w:ascii="仿宋_GB2312" w:eastAsia="仿宋_GB2312"/>
          <w:bCs/>
          <w:kern w:val="44"/>
          <w:sz w:val="32"/>
          <w:szCs w:val="32"/>
          <w:highlight w:val="none"/>
        </w:rPr>
      </w:pPr>
      <w:r>
        <w:rPr>
          <w:rFonts w:hint="eastAsia" w:ascii="仿宋_GB2312"/>
          <w:bCs/>
          <w:kern w:val="44"/>
          <w:sz w:val="32"/>
          <w:szCs w:val="32"/>
          <w:highlight w:val="none"/>
          <w:lang w:eastAsia="zh-CN"/>
        </w:rPr>
        <w:t>202</w:t>
      </w:r>
      <w:r>
        <w:rPr>
          <w:rFonts w:hint="eastAsia" w:ascii="仿宋_GB2312"/>
          <w:bCs/>
          <w:kern w:val="44"/>
          <w:sz w:val="32"/>
          <w:szCs w:val="32"/>
          <w:highlight w:val="none"/>
          <w:lang w:val="en-US" w:eastAsia="zh-CN"/>
        </w:rPr>
        <w:t>2</w:t>
      </w:r>
      <w:r>
        <w:rPr>
          <w:rFonts w:hint="eastAsia" w:ascii="仿宋_GB2312"/>
          <w:bCs/>
          <w:kern w:val="44"/>
          <w:sz w:val="32"/>
          <w:szCs w:val="32"/>
          <w:highlight w:val="none"/>
          <w:lang w:eastAsia="zh-CN"/>
        </w:rPr>
        <w:t>年</w:t>
      </w:r>
      <w:r>
        <w:rPr>
          <w:rFonts w:hint="eastAsia" w:ascii="仿宋_GB2312" w:eastAsia="仿宋_GB2312"/>
          <w:bCs/>
          <w:kern w:val="44"/>
          <w:sz w:val="32"/>
          <w:szCs w:val="32"/>
          <w:highlight w:val="none"/>
        </w:rPr>
        <w:t>度</w:t>
      </w:r>
      <w:r>
        <w:rPr>
          <w:rFonts w:hint="eastAsia" w:ascii="仿宋_GB2312" w:hAnsi="仿宋_GB2312" w:eastAsia="仿宋_GB2312" w:cs="仿宋_GB2312"/>
          <w:bCs/>
          <w:kern w:val="44"/>
          <w:sz w:val="32"/>
          <w:szCs w:val="32"/>
          <w:highlight w:val="none"/>
          <w:lang w:eastAsia="zh-CN"/>
        </w:rPr>
        <w:t>一般公共预算</w:t>
      </w:r>
      <w:r>
        <w:rPr>
          <w:rFonts w:hint="eastAsia" w:ascii="仿宋_GB2312" w:eastAsia="仿宋_GB2312"/>
          <w:bCs/>
          <w:kern w:val="44"/>
          <w:sz w:val="32"/>
          <w:szCs w:val="32"/>
          <w:highlight w:val="none"/>
        </w:rPr>
        <w:t>财政拨款支出</w:t>
      </w:r>
      <w:r>
        <w:rPr>
          <w:rFonts w:hint="eastAsia" w:ascii="仿宋_GB2312" w:eastAsia="仿宋_GB2312"/>
          <w:bCs/>
          <w:kern w:val="44"/>
          <w:sz w:val="32"/>
          <w:szCs w:val="32"/>
          <w:highlight w:val="none"/>
          <w:u w:val="single"/>
        </w:rPr>
        <w:t xml:space="preserve">  </w:t>
      </w:r>
      <w:r>
        <w:rPr>
          <w:rFonts w:hint="eastAsia" w:ascii="仿宋_GB2312"/>
          <w:bCs/>
          <w:kern w:val="44"/>
          <w:sz w:val="32"/>
          <w:szCs w:val="32"/>
          <w:highlight w:val="none"/>
          <w:u w:val="single"/>
          <w:lang w:val="en-US" w:eastAsia="zh-CN"/>
        </w:rPr>
        <w:t>2089.16</w:t>
      </w:r>
      <w:r>
        <w:rPr>
          <w:rFonts w:hint="eastAsia" w:ascii="仿宋_GB2312" w:eastAsia="仿宋_GB2312"/>
          <w:bCs/>
          <w:kern w:val="44"/>
          <w:sz w:val="32"/>
          <w:szCs w:val="32"/>
          <w:highlight w:val="none"/>
          <w:u w:val="single"/>
        </w:rPr>
        <w:t xml:space="preserve">    </w:t>
      </w:r>
      <w:r>
        <w:rPr>
          <w:rFonts w:hint="eastAsia" w:ascii="仿宋_GB2312" w:eastAsia="仿宋_GB2312"/>
          <w:bCs/>
          <w:kern w:val="44"/>
          <w:sz w:val="32"/>
          <w:szCs w:val="32"/>
          <w:highlight w:val="none"/>
        </w:rPr>
        <w:t>万元，主要用于以下方面：</w:t>
      </w:r>
    </w:p>
    <w:p w14:paraId="38DB4A9D">
      <w:pPr>
        <w:pageBreakBefore w:val="0"/>
        <w:widowControl w:val="0"/>
        <w:numPr>
          <w:ilvl w:val="0"/>
          <w:numId w:val="0"/>
        </w:numPr>
        <w:kinsoku/>
        <w:wordWrap/>
        <w:overflowPunct/>
        <w:topLinePunct w:val="0"/>
        <w:bidi w:val="0"/>
        <w:adjustRightInd w:val="0"/>
        <w:snapToGrid w:val="0"/>
        <w:spacing w:line="360" w:lineRule="auto"/>
        <w:ind w:firstLine="640" w:firstLineChars="200"/>
        <w:textAlignment w:val="auto"/>
        <w:rPr>
          <w:rFonts w:hint="eastAsia" w:ascii="仿宋_GB2312" w:eastAsia="仿宋_GB2312"/>
          <w:bCs/>
          <w:kern w:val="44"/>
          <w:sz w:val="32"/>
          <w:szCs w:val="32"/>
          <w:highlight w:val="none"/>
          <w:lang w:val="en-US" w:eastAsia="zh-CN"/>
        </w:rPr>
      </w:pPr>
      <w:r>
        <w:rPr>
          <w:rFonts w:hint="eastAsia" w:ascii="仿宋_GB2312"/>
          <w:bCs/>
          <w:kern w:val="44"/>
          <w:sz w:val="32"/>
          <w:szCs w:val="32"/>
          <w:highlight w:val="none"/>
          <w:lang w:val="en-US" w:eastAsia="zh-CN"/>
        </w:rPr>
        <w:t>1.</w:t>
      </w:r>
      <w:r>
        <w:rPr>
          <w:rFonts w:hint="eastAsia" w:ascii="仿宋_GB2312" w:eastAsia="仿宋_GB2312"/>
          <w:bCs/>
          <w:kern w:val="44"/>
          <w:sz w:val="32"/>
          <w:szCs w:val="32"/>
          <w:highlight w:val="none"/>
        </w:rPr>
        <w:t>一般公共服务（类）支出</w:t>
      </w:r>
      <w:r>
        <w:rPr>
          <w:rFonts w:hint="eastAsia" w:ascii="仿宋_GB2312" w:eastAsia="仿宋_GB2312"/>
          <w:bCs/>
          <w:kern w:val="44"/>
          <w:sz w:val="32"/>
          <w:szCs w:val="32"/>
          <w:highlight w:val="none"/>
          <w:u w:val="single"/>
        </w:rPr>
        <w:t xml:space="preserve">  </w:t>
      </w:r>
      <w:r>
        <w:rPr>
          <w:rFonts w:hint="eastAsia" w:ascii="仿宋_GB2312"/>
          <w:bCs/>
          <w:kern w:val="44"/>
          <w:sz w:val="32"/>
          <w:szCs w:val="32"/>
          <w:highlight w:val="none"/>
          <w:u w:val="single"/>
          <w:lang w:val="en-US" w:eastAsia="zh-CN"/>
        </w:rPr>
        <w:t>1244.18</w:t>
      </w:r>
      <w:r>
        <w:rPr>
          <w:rFonts w:hint="eastAsia" w:ascii="仿宋_GB2312" w:eastAsia="仿宋_GB2312"/>
          <w:bCs/>
          <w:kern w:val="44"/>
          <w:sz w:val="32"/>
          <w:szCs w:val="32"/>
          <w:highlight w:val="none"/>
          <w:u w:val="single"/>
          <w:lang w:val="en-US" w:eastAsia="zh-CN"/>
        </w:rPr>
        <w:t xml:space="preserve">  </w:t>
      </w:r>
      <w:r>
        <w:rPr>
          <w:rFonts w:hint="eastAsia" w:ascii="仿宋_GB2312" w:eastAsia="仿宋_GB2312"/>
          <w:bCs/>
          <w:kern w:val="44"/>
          <w:sz w:val="32"/>
          <w:szCs w:val="32"/>
          <w:highlight w:val="none"/>
        </w:rPr>
        <w:t>万元，占</w:t>
      </w:r>
      <w:r>
        <w:rPr>
          <w:rFonts w:hint="eastAsia" w:ascii="仿宋_GB2312" w:eastAsia="仿宋_GB2312"/>
          <w:bCs/>
          <w:kern w:val="44"/>
          <w:sz w:val="32"/>
          <w:szCs w:val="32"/>
          <w:highlight w:val="none"/>
          <w:u w:val="single"/>
        </w:rPr>
        <w:t xml:space="preserve"> </w:t>
      </w:r>
      <w:r>
        <w:rPr>
          <w:rFonts w:hint="eastAsia" w:ascii="仿宋_GB2312"/>
          <w:bCs/>
          <w:kern w:val="44"/>
          <w:sz w:val="32"/>
          <w:szCs w:val="32"/>
          <w:highlight w:val="none"/>
          <w:u w:val="single"/>
          <w:lang w:val="en-US" w:eastAsia="zh-CN"/>
        </w:rPr>
        <w:t>60</w:t>
      </w:r>
      <w:r>
        <w:rPr>
          <w:rFonts w:hint="eastAsia" w:ascii="仿宋_GB2312" w:eastAsia="仿宋_GB2312"/>
          <w:bCs/>
          <w:kern w:val="44"/>
          <w:sz w:val="32"/>
          <w:szCs w:val="32"/>
          <w:highlight w:val="none"/>
          <w:u w:val="single"/>
        </w:rPr>
        <w:t xml:space="preserve">   </w:t>
      </w:r>
      <w:r>
        <w:rPr>
          <w:rFonts w:ascii="仿宋_GB2312" w:eastAsia="仿宋_GB2312"/>
          <w:bCs/>
          <w:kern w:val="44"/>
          <w:sz w:val="32"/>
          <w:szCs w:val="32"/>
          <w:highlight w:val="none"/>
        </w:rPr>
        <w:t>%</w:t>
      </w:r>
      <w:r>
        <w:rPr>
          <w:rFonts w:hint="eastAsia" w:ascii="仿宋_GB2312"/>
          <w:bCs/>
          <w:kern w:val="44"/>
          <w:sz w:val="32"/>
          <w:szCs w:val="32"/>
          <w:highlight w:val="none"/>
          <w:lang w:eastAsia="zh-CN"/>
        </w:rPr>
        <w:t>。主要是用</w:t>
      </w:r>
      <w:r>
        <w:rPr>
          <w:rFonts w:hint="eastAsia" w:ascii="仿宋_GB2312"/>
          <w:bCs/>
          <w:kern w:val="44"/>
          <w:sz w:val="32"/>
          <w:szCs w:val="32"/>
          <w:highlight w:val="none"/>
          <w:lang w:val="en-US" w:eastAsia="zh-CN"/>
        </w:rPr>
        <w:t>于机关人员支出及机关运行公共支出</w:t>
      </w:r>
      <w:r>
        <w:rPr>
          <w:rFonts w:hint="eastAsia" w:ascii="仿宋_GB2312"/>
          <w:bCs/>
          <w:kern w:val="44"/>
          <w:sz w:val="32"/>
          <w:szCs w:val="32"/>
          <w:highlight w:val="none"/>
          <w:lang w:eastAsia="zh-CN"/>
        </w:rPr>
        <w:t>。</w:t>
      </w:r>
    </w:p>
    <w:p w14:paraId="7868CA9C">
      <w:pPr>
        <w:pageBreakBefore w:val="0"/>
        <w:widowControl w:val="0"/>
        <w:numPr>
          <w:ilvl w:val="0"/>
          <w:numId w:val="0"/>
        </w:numPr>
        <w:kinsoku/>
        <w:wordWrap/>
        <w:overflowPunct/>
        <w:topLinePunct w:val="0"/>
        <w:bidi w:val="0"/>
        <w:adjustRightInd w:val="0"/>
        <w:snapToGrid w:val="0"/>
        <w:spacing w:line="360" w:lineRule="auto"/>
        <w:ind w:firstLine="640" w:firstLineChars="200"/>
        <w:textAlignment w:val="auto"/>
        <w:rPr>
          <w:rFonts w:hint="eastAsia" w:ascii="仿宋_GB2312" w:eastAsia="仿宋_GB2312"/>
          <w:bCs/>
          <w:kern w:val="44"/>
          <w:sz w:val="32"/>
          <w:szCs w:val="32"/>
          <w:highlight w:val="none"/>
          <w:lang w:val="en-US" w:eastAsia="zh-CN"/>
        </w:rPr>
      </w:pPr>
      <w:r>
        <w:rPr>
          <w:rFonts w:hint="eastAsia" w:ascii="仿宋_GB2312"/>
          <w:bCs/>
          <w:kern w:val="44"/>
          <w:sz w:val="32"/>
          <w:szCs w:val="32"/>
          <w:highlight w:val="none"/>
          <w:lang w:val="en-US" w:eastAsia="zh-CN"/>
        </w:rPr>
        <w:t>2.城乡社区（类）支出</w:t>
      </w:r>
      <w:r>
        <w:rPr>
          <w:rFonts w:hint="eastAsia" w:ascii="仿宋_GB2312" w:eastAsia="仿宋_GB2312"/>
          <w:bCs/>
          <w:kern w:val="44"/>
          <w:sz w:val="32"/>
          <w:szCs w:val="32"/>
          <w:highlight w:val="none"/>
          <w:u w:val="single"/>
        </w:rPr>
        <w:t xml:space="preserve">  </w:t>
      </w:r>
      <w:r>
        <w:rPr>
          <w:rFonts w:hint="eastAsia" w:ascii="仿宋_GB2312"/>
          <w:bCs/>
          <w:kern w:val="44"/>
          <w:sz w:val="32"/>
          <w:szCs w:val="32"/>
          <w:highlight w:val="none"/>
          <w:u w:val="single"/>
          <w:lang w:val="en-US" w:eastAsia="zh-CN"/>
        </w:rPr>
        <w:t>40.5</w:t>
      </w:r>
      <w:r>
        <w:rPr>
          <w:rFonts w:hint="eastAsia" w:ascii="仿宋_GB2312" w:eastAsia="仿宋_GB2312"/>
          <w:bCs/>
          <w:kern w:val="44"/>
          <w:sz w:val="32"/>
          <w:szCs w:val="32"/>
          <w:highlight w:val="none"/>
          <w:u w:val="single"/>
          <w:lang w:val="en-US" w:eastAsia="zh-CN"/>
        </w:rPr>
        <w:t xml:space="preserve">  </w:t>
      </w:r>
      <w:r>
        <w:rPr>
          <w:rFonts w:hint="eastAsia" w:ascii="仿宋_GB2312" w:eastAsia="仿宋_GB2312"/>
          <w:bCs/>
          <w:kern w:val="44"/>
          <w:sz w:val="32"/>
          <w:szCs w:val="32"/>
          <w:highlight w:val="none"/>
        </w:rPr>
        <w:t>万元，占</w:t>
      </w:r>
      <w:r>
        <w:rPr>
          <w:rFonts w:hint="eastAsia" w:ascii="仿宋_GB2312" w:eastAsia="仿宋_GB2312"/>
          <w:bCs/>
          <w:kern w:val="44"/>
          <w:sz w:val="32"/>
          <w:szCs w:val="32"/>
          <w:highlight w:val="none"/>
          <w:u w:val="single"/>
        </w:rPr>
        <w:t xml:space="preserve">  </w:t>
      </w:r>
      <w:r>
        <w:rPr>
          <w:rFonts w:hint="eastAsia" w:ascii="仿宋_GB2312"/>
          <w:bCs/>
          <w:kern w:val="44"/>
          <w:sz w:val="32"/>
          <w:szCs w:val="32"/>
          <w:highlight w:val="none"/>
          <w:u w:val="single"/>
          <w:lang w:val="en-US" w:eastAsia="zh-CN"/>
        </w:rPr>
        <w:t>19</w:t>
      </w:r>
      <w:r>
        <w:rPr>
          <w:rFonts w:hint="eastAsia" w:ascii="仿宋_GB2312" w:eastAsia="仿宋_GB2312"/>
          <w:bCs/>
          <w:kern w:val="44"/>
          <w:sz w:val="32"/>
          <w:szCs w:val="32"/>
          <w:highlight w:val="none"/>
          <w:u w:val="single"/>
        </w:rPr>
        <w:t xml:space="preserve">  </w:t>
      </w:r>
      <w:r>
        <w:rPr>
          <w:rFonts w:ascii="仿宋_GB2312" w:eastAsia="仿宋_GB2312"/>
          <w:bCs/>
          <w:kern w:val="44"/>
          <w:sz w:val="32"/>
          <w:szCs w:val="32"/>
          <w:highlight w:val="none"/>
        </w:rPr>
        <w:t>%</w:t>
      </w:r>
      <w:r>
        <w:rPr>
          <w:rFonts w:hint="eastAsia" w:ascii="仿宋_GB2312"/>
          <w:bCs/>
          <w:kern w:val="44"/>
          <w:sz w:val="32"/>
          <w:szCs w:val="32"/>
          <w:highlight w:val="none"/>
          <w:lang w:eastAsia="zh-CN"/>
        </w:rPr>
        <w:t>。主要是用于</w:t>
      </w:r>
      <w:r>
        <w:rPr>
          <w:rFonts w:hint="eastAsia" w:ascii="仿宋_GB2312"/>
          <w:bCs/>
          <w:kern w:val="44"/>
          <w:sz w:val="32"/>
          <w:szCs w:val="32"/>
          <w:highlight w:val="none"/>
          <w:lang w:val="en-US" w:eastAsia="zh-CN"/>
        </w:rPr>
        <w:t>城乡环境综合治理</w:t>
      </w:r>
      <w:r>
        <w:rPr>
          <w:rFonts w:hint="eastAsia" w:ascii="仿宋_GB2312"/>
          <w:bCs/>
          <w:kern w:val="44"/>
          <w:sz w:val="32"/>
          <w:szCs w:val="32"/>
          <w:highlight w:val="none"/>
          <w:lang w:eastAsia="zh-CN"/>
        </w:rPr>
        <w:t>。</w:t>
      </w:r>
    </w:p>
    <w:p w14:paraId="530A948F">
      <w:pPr>
        <w:pageBreakBefore w:val="0"/>
        <w:widowControl w:val="0"/>
        <w:numPr>
          <w:ilvl w:val="0"/>
          <w:numId w:val="0"/>
        </w:numPr>
        <w:kinsoku/>
        <w:wordWrap/>
        <w:overflowPunct/>
        <w:topLinePunct w:val="0"/>
        <w:bidi w:val="0"/>
        <w:adjustRightInd w:val="0"/>
        <w:snapToGrid w:val="0"/>
        <w:spacing w:line="360" w:lineRule="auto"/>
        <w:ind w:firstLine="640" w:firstLineChars="200"/>
        <w:textAlignment w:val="auto"/>
        <w:rPr>
          <w:rFonts w:hint="eastAsia" w:ascii="仿宋_GB2312" w:eastAsia="仿宋_GB2312"/>
          <w:bCs/>
          <w:kern w:val="44"/>
          <w:sz w:val="32"/>
          <w:szCs w:val="32"/>
          <w:highlight w:val="none"/>
        </w:rPr>
      </w:pPr>
      <w:r>
        <w:rPr>
          <w:rFonts w:hint="eastAsia" w:ascii="仿宋_GB2312"/>
          <w:bCs/>
          <w:kern w:val="44"/>
          <w:sz w:val="32"/>
          <w:szCs w:val="32"/>
          <w:highlight w:val="none"/>
          <w:lang w:val="en-US" w:eastAsia="zh-CN"/>
        </w:rPr>
        <w:t>3. 农林水（类）支出804.49万元，主要用于土地综合治理及农业基础设施建设维修支出。</w:t>
      </w:r>
    </w:p>
    <w:p w14:paraId="41E5051A">
      <w:pPr>
        <w:pageBreakBefore w:val="0"/>
        <w:widowControl w:val="0"/>
        <w:numPr>
          <w:ilvl w:val="0"/>
          <w:numId w:val="0"/>
        </w:numPr>
        <w:kinsoku/>
        <w:wordWrap/>
        <w:overflowPunct/>
        <w:topLinePunct w:val="0"/>
        <w:bidi w:val="0"/>
        <w:adjustRightInd w:val="0"/>
        <w:snapToGrid w:val="0"/>
        <w:spacing w:line="360" w:lineRule="auto"/>
        <w:ind w:firstLine="640" w:firstLineChars="200"/>
        <w:textAlignment w:val="auto"/>
        <w:rPr>
          <w:rFonts w:hint="eastAsia" w:ascii="楷体_GB2312" w:hAnsi="楷体_GB2312" w:eastAsia="楷体_GB2312" w:cs="楷体_GB2312"/>
          <w:bCs/>
          <w:kern w:val="44"/>
          <w:sz w:val="32"/>
          <w:szCs w:val="32"/>
          <w:highlight w:val="none"/>
        </w:rPr>
      </w:pPr>
      <w:r>
        <w:rPr>
          <w:rFonts w:hint="eastAsia" w:ascii="楷体_GB2312" w:hAnsi="楷体_GB2312" w:eastAsia="楷体_GB2312" w:cs="楷体_GB2312"/>
          <w:bCs/>
          <w:kern w:val="44"/>
          <w:sz w:val="32"/>
          <w:szCs w:val="32"/>
          <w:highlight w:val="none"/>
        </w:rPr>
        <w:t>（三）财政拨款支出决算具体情况。</w:t>
      </w:r>
    </w:p>
    <w:p w14:paraId="39BC7ED9">
      <w:pPr>
        <w:pageBreakBefore w:val="0"/>
        <w:widowControl w:val="0"/>
        <w:kinsoku/>
        <w:wordWrap/>
        <w:overflowPunct/>
        <w:topLinePunct w:val="0"/>
        <w:bidi w:val="0"/>
        <w:adjustRightInd w:val="0"/>
        <w:snapToGrid w:val="0"/>
        <w:spacing w:line="360" w:lineRule="auto"/>
        <w:ind w:firstLine="640" w:firstLineChars="200"/>
        <w:textAlignment w:val="auto"/>
        <w:rPr>
          <w:rFonts w:hint="eastAsia" w:ascii="仿宋_GB2312" w:hAnsi="仿宋_GB2312" w:eastAsia="仿宋_GB2312" w:cs="仿宋_GB2312"/>
          <w:b/>
          <w:bCs w:val="0"/>
          <w:kern w:val="44"/>
          <w:sz w:val="32"/>
          <w:szCs w:val="32"/>
          <w:highlight w:val="none"/>
        </w:rPr>
      </w:pPr>
      <w:r>
        <w:rPr>
          <w:rFonts w:hint="eastAsia" w:ascii="仿宋_GB2312" w:hAnsi="仿宋_GB2312" w:eastAsia="仿宋_GB2312" w:cs="仿宋_GB2312"/>
          <w:bCs/>
          <w:kern w:val="44"/>
          <w:sz w:val="32"/>
          <w:szCs w:val="32"/>
          <w:highlight w:val="none"/>
          <w:lang w:eastAsia="zh-CN"/>
        </w:rPr>
        <w:t>202</w:t>
      </w:r>
      <w:r>
        <w:rPr>
          <w:rFonts w:hint="eastAsia" w:ascii="仿宋_GB2312" w:hAnsi="仿宋_GB2312" w:cs="仿宋_GB2312"/>
          <w:bCs/>
          <w:kern w:val="44"/>
          <w:sz w:val="32"/>
          <w:szCs w:val="32"/>
          <w:highlight w:val="none"/>
          <w:lang w:val="en-US" w:eastAsia="zh-CN"/>
        </w:rPr>
        <w:t>2</w:t>
      </w:r>
      <w:r>
        <w:rPr>
          <w:rFonts w:hint="eastAsia" w:ascii="仿宋_GB2312" w:hAnsi="仿宋_GB2312" w:eastAsia="仿宋_GB2312" w:cs="仿宋_GB2312"/>
          <w:bCs/>
          <w:kern w:val="44"/>
          <w:sz w:val="32"/>
          <w:szCs w:val="32"/>
          <w:highlight w:val="none"/>
          <w:lang w:eastAsia="zh-CN"/>
        </w:rPr>
        <w:t>年度</w:t>
      </w:r>
      <w:r>
        <w:rPr>
          <w:rFonts w:hint="eastAsia" w:ascii="仿宋_GB2312" w:hAnsi="仿宋_GB2312" w:eastAsia="仿宋_GB2312" w:cs="仿宋_GB2312"/>
          <w:bCs/>
          <w:kern w:val="44"/>
          <w:sz w:val="32"/>
          <w:szCs w:val="32"/>
          <w:highlight w:val="none"/>
        </w:rPr>
        <w:t>一般公共预算财政拨款支出年</w:t>
      </w:r>
      <w:r>
        <w:rPr>
          <w:rFonts w:hint="eastAsia" w:ascii="仿宋_GB2312" w:hAnsi="仿宋_GB2312" w:eastAsia="仿宋_GB2312" w:cs="仿宋_GB2312"/>
          <w:bCs/>
          <w:kern w:val="44"/>
          <w:sz w:val="32"/>
          <w:szCs w:val="32"/>
          <w:highlight w:val="none"/>
          <w:lang w:eastAsia="zh-CN"/>
        </w:rPr>
        <w:t>初</w:t>
      </w:r>
      <w:r>
        <w:rPr>
          <w:rFonts w:hint="eastAsia" w:ascii="仿宋_GB2312" w:hAnsi="仿宋_GB2312" w:eastAsia="仿宋_GB2312" w:cs="仿宋_GB2312"/>
          <w:bCs/>
          <w:kern w:val="44"/>
          <w:sz w:val="32"/>
          <w:szCs w:val="32"/>
          <w:highlight w:val="none"/>
        </w:rPr>
        <w:t>预算为</w:t>
      </w:r>
      <w:r>
        <w:rPr>
          <w:rFonts w:hint="eastAsia" w:ascii="仿宋_GB2312" w:hAnsi="仿宋_GB2312" w:eastAsia="仿宋_GB2312" w:cs="仿宋_GB2312"/>
          <w:bCs/>
          <w:kern w:val="44"/>
          <w:sz w:val="32"/>
          <w:szCs w:val="32"/>
          <w:highlight w:val="none"/>
          <w:u w:val="single"/>
        </w:rPr>
        <w:t xml:space="preserve">    </w:t>
      </w:r>
      <w:r>
        <w:rPr>
          <w:rFonts w:hint="eastAsia" w:ascii="仿宋_GB2312" w:hAnsi="仿宋_GB2312" w:cs="仿宋_GB2312"/>
          <w:bCs/>
          <w:kern w:val="44"/>
          <w:sz w:val="32"/>
          <w:szCs w:val="32"/>
          <w:highlight w:val="none"/>
          <w:u w:val="single"/>
          <w:lang w:val="en-US" w:eastAsia="zh-CN"/>
        </w:rPr>
        <w:t>758.73</w:t>
      </w:r>
      <w:r>
        <w:rPr>
          <w:rFonts w:hint="eastAsia" w:ascii="仿宋_GB2312" w:hAnsi="仿宋_GB2312" w:eastAsia="仿宋_GB2312" w:cs="仿宋_GB2312"/>
          <w:bCs/>
          <w:kern w:val="44"/>
          <w:sz w:val="32"/>
          <w:szCs w:val="32"/>
          <w:highlight w:val="none"/>
        </w:rPr>
        <w:t>万元</w:t>
      </w: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bCs/>
          <w:kern w:val="44"/>
          <w:sz w:val="32"/>
          <w:szCs w:val="32"/>
          <w:highlight w:val="none"/>
        </w:rPr>
        <w:t>支出决算为</w:t>
      </w:r>
      <w:r>
        <w:rPr>
          <w:rFonts w:hint="eastAsia" w:ascii="仿宋_GB2312" w:hAnsi="仿宋_GB2312" w:eastAsia="仿宋_GB2312" w:cs="仿宋_GB2312"/>
          <w:bCs/>
          <w:kern w:val="44"/>
          <w:sz w:val="32"/>
          <w:szCs w:val="32"/>
          <w:highlight w:val="none"/>
          <w:u w:val="single"/>
        </w:rPr>
        <w:t xml:space="preserve">  </w:t>
      </w:r>
      <w:r>
        <w:rPr>
          <w:rFonts w:hint="eastAsia" w:ascii="仿宋_GB2312" w:hAnsi="仿宋_GB2312" w:cs="仿宋_GB2312"/>
          <w:bCs/>
          <w:kern w:val="44"/>
          <w:sz w:val="32"/>
          <w:szCs w:val="32"/>
          <w:highlight w:val="none"/>
          <w:u w:val="single"/>
          <w:lang w:val="en-US" w:eastAsia="zh-CN"/>
        </w:rPr>
        <w:t>2089.16</w:t>
      </w:r>
      <w:r>
        <w:rPr>
          <w:rFonts w:hint="eastAsia" w:ascii="仿宋_GB2312" w:hAnsi="仿宋_GB2312" w:eastAsia="仿宋_GB2312" w:cs="仿宋_GB2312"/>
          <w:bCs/>
          <w:kern w:val="44"/>
          <w:sz w:val="32"/>
          <w:szCs w:val="32"/>
          <w:highlight w:val="none"/>
          <w:u w:val="single"/>
        </w:rPr>
        <w:t xml:space="preserve">  </w:t>
      </w:r>
      <w:r>
        <w:rPr>
          <w:rFonts w:hint="eastAsia" w:ascii="仿宋_GB2312" w:hAnsi="仿宋_GB2312" w:eastAsia="仿宋_GB2312" w:cs="仿宋_GB2312"/>
          <w:bCs/>
          <w:kern w:val="44"/>
          <w:sz w:val="32"/>
          <w:szCs w:val="32"/>
          <w:highlight w:val="none"/>
        </w:rPr>
        <w:t>万元，完成年</w:t>
      </w:r>
      <w:r>
        <w:rPr>
          <w:rFonts w:hint="eastAsia" w:ascii="仿宋_GB2312" w:hAnsi="仿宋_GB2312" w:eastAsia="仿宋_GB2312" w:cs="仿宋_GB2312"/>
          <w:bCs/>
          <w:kern w:val="44"/>
          <w:sz w:val="32"/>
          <w:szCs w:val="32"/>
          <w:highlight w:val="none"/>
          <w:lang w:eastAsia="zh-CN"/>
        </w:rPr>
        <w:t>初</w:t>
      </w:r>
      <w:r>
        <w:rPr>
          <w:rFonts w:hint="eastAsia" w:ascii="仿宋_GB2312" w:hAnsi="仿宋_GB2312" w:eastAsia="仿宋_GB2312" w:cs="仿宋_GB2312"/>
          <w:bCs/>
          <w:kern w:val="44"/>
          <w:sz w:val="32"/>
          <w:szCs w:val="32"/>
          <w:highlight w:val="none"/>
        </w:rPr>
        <w:t>预算的</w:t>
      </w:r>
      <w:r>
        <w:rPr>
          <w:rFonts w:hint="eastAsia" w:ascii="仿宋_GB2312" w:hAnsi="仿宋_GB2312" w:eastAsia="仿宋_GB2312" w:cs="仿宋_GB2312"/>
          <w:bCs/>
          <w:kern w:val="44"/>
          <w:sz w:val="32"/>
          <w:szCs w:val="32"/>
          <w:highlight w:val="none"/>
          <w:u w:val="single"/>
        </w:rPr>
        <w:t xml:space="preserve">  </w:t>
      </w:r>
      <w:r>
        <w:rPr>
          <w:rFonts w:hint="eastAsia" w:ascii="仿宋_GB2312" w:hAnsi="仿宋_GB2312" w:cs="仿宋_GB2312"/>
          <w:bCs/>
          <w:kern w:val="44"/>
          <w:sz w:val="32"/>
          <w:szCs w:val="32"/>
          <w:highlight w:val="none"/>
          <w:u w:val="single"/>
          <w:lang w:val="en-US" w:eastAsia="zh-CN"/>
        </w:rPr>
        <w:t>275.3</w:t>
      </w:r>
      <w:r>
        <w:rPr>
          <w:rFonts w:hint="eastAsia" w:ascii="仿宋_GB2312" w:hAnsi="仿宋_GB2312" w:eastAsia="仿宋_GB2312" w:cs="仿宋_GB2312"/>
          <w:bCs/>
          <w:kern w:val="44"/>
          <w:sz w:val="32"/>
          <w:szCs w:val="32"/>
          <w:highlight w:val="none"/>
          <w:u w:val="single"/>
        </w:rPr>
        <w:t xml:space="preserve">  </w:t>
      </w:r>
      <w:r>
        <w:rPr>
          <w:rFonts w:hint="eastAsia" w:ascii="仿宋_GB2312" w:hAnsi="仿宋_GB2312" w:eastAsia="仿宋_GB2312" w:cs="仿宋_GB2312"/>
          <w:bCs/>
          <w:kern w:val="44"/>
          <w:sz w:val="32"/>
          <w:szCs w:val="32"/>
          <w:highlight w:val="none"/>
        </w:rPr>
        <w:t>%。其中：</w:t>
      </w:r>
    </w:p>
    <w:p w14:paraId="05C70DD0">
      <w:pPr>
        <w:pageBreakBefore w:val="0"/>
        <w:widowControl w:val="0"/>
        <w:kinsoku/>
        <w:wordWrap/>
        <w:overflowPunct/>
        <w:topLinePunct w:val="0"/>
        <w:bidi w:val="0"/>
        <w:adjustRightInd w:val="0"/>
        <w:snapToGrid w:val="0"/>
        <w:spacing w:line="360" w:lineRule="auto"/>
        <w:ind w:firstLine="640" w:firstLineChars="200"/>
        <w:textAlignment w:val="auto"/>
        <w:rPr>
          <w:rFonts w:hint="eastAsia" w:ascii="仿宋_GB2312" w:hAnsi="仿宋_GB2312" w:eastAsia="仿宋_GB2312" w:cs="仿宋_GB2312"/>
          <w:bCs/>
          <w:kern w:val="44"/>
          <w:sz w:val="32"/>
          <w:szCs w:val="32"/>
          <w:highlight w:val="yellow"/>
        </w:rPr>
      </w:pPr>
      <w:r>
        <w:rPr>
          <w:rFonts w:hint="eastAsia" w:ascii="仿宋_GB2312" w:hAnsi="仿宋_GB2312" w:eastAsia="仿宋_GB2312" w:cs="仿宋_GB2312"/>
          <w:bCs/>
          <w:kern w:val="44"/>
          <w:sz w:val="32"/>
          <w:szCs w:val="32"/>
          <w:highlight w:val="none"/>
        </w:rPr>
        <w:t>1.一般公共服务支出(类)</w:t>
      </w:r>
      <w:r>
        <w:rPr>
          <w:rFonts w:hint="eastAsia" w:ascii="仿宋_GB2312" w:hAnsi="仿宋_GB2312" w:cs="仿宋_GB2312"/>
          <w:bCs/>
          <w:kern w:val="44"/>
          <w:sz w:val="32"/>
          <w:szCs w:val="32"/>
          <w:highlight w:val="none"/>
          <w:lang w:eastAsia="zh-CN"/>
        </w:rPr>
        <w:t>财政事务（款）行政运行（项）</w:t>
      </w:r>
      <w:r>
        <w:rPr>
          <w:rFonts w:hint="eastAsia" w:ascii="仿宋_GB2312" w:hAnsi="仿宋_GB2312" w:eastAsia="仿宋_GB2312" w:cs="仿宋_GB2312"/>
          <w:bCs/>
          <w:kern w:val="44"/>
          <w:sz w:val="32"/>
          <w:szCs w:val="32"/>
          <w:highlight w:val="none"/>
        </w:rPr>
        <w:t>。年</w:t>
      </w:r>
      <w:r>
        <w:rPr>
          <w:rFonts w:hint="eastAsia" w:ascii="仿宋_GB2312" w:hAnsi="仿宋_GB2312" w:eastAsia="仿宋_GB2312" w:cs="仿宋_GB2312"/>
          <w:bCs/>
          <w:kern w:val="44"/>
          <w:sz w:val="32"/>
          <w:szCs w:val="32"/>
          <w:highlight w:val="none"/>
          <w:lang w:eastAsia="zh-CN"/>
        </w:rPr>
        <w:t>初</w:t>
      </w:r>
      <w:r>
        <w:rPr>
          <w:rFonts w:hint="eastAsia" w:ascii="仿宋_GB2312" w:hAnsi="仿宋_GB2312" w:eastAsia="仿宋_GB2312" w:cs="仿宋_GB2312"/>
          <w:bCs/>
          <w:kern w:val="44"/>
          <w:sz w:val="32"/>
          <w:szCs w:val="32"/>
          <w:highlight w:val="none"/>
        </w:rPr>
        <w:t>预算为</w:t>
      </w:r>
      <w:r>
        <w:rPr>
          <w:rFonts w:hint="eastAsia" w:ascii="仿宋_GB2312" w:hAnsi="仿宋_GB2312" w:eastAsia="仿宋_GB2312" w:cs="仿宋_GB2312"/>
          <w:bCs/>
          <w:kern w:val="44"/>
          <w:sz w:val="32"/>
          <w:szCs w:val="32"/>
          <w:highlight w:val="none"/>
          <w:u w:val="single"/>
        </w:rPr>
        <w:t xml:space="preserve">  </w:t>
      </w:r>
      <w:r>
        <w:rPr>
          <w:rFonts w:hint="eastAsia" w:ascii="仿宋_GB2312" w:hAnsi="仿宋_GB2312" w:cs="仿宋_GB2312"/>
          <w:bCs/>
          <w:kern w:val="44"/>
          <w:sz w:val="32"/>
          <w:szCs w:val="32"/>
          <w:highlight w:val="none"/>
          <w:u w:val="single"/>
          <w:lang w:val="en-US" w:eastAsia="zh-CN"/>
        </w:rPr>
        <w:t>373.46</w:t>
      </w:r>
      <w:r>
        <w:rPr>
          <w:rFonts w:hint="eastAsia" w:ascii="仿宋_GB2312" w:hAnsi="仿宋_GB2312" w:eastAsia="仿宋_GB2312" w:cs="仿宋_GB2312"/>
          <w:bCs/>
          <w:kern w:val="44"/>
          <w:sz w:val="32"/>
          <w:szCs w:val="32"/>
          <w:highlight w:val="none"/>
          <w:u w:val="single"/>
        </w:rPr>
        <w:t xml:space="preserve">  </w:t>
      </w:r>
      <w:r>
        <w:rPr>
          <w:rFonts w:hint="eastAsia" w:ascii="仿宋_GB2312" w:hAnsi="仿宋_GB2312" w:eastAsia="仿宋_GB2312" w:cs="仿宋_GB2312"/>
          <w:bCs/>
          <w:kern w:val="44"/>
          <w:sz w:val="32"/>
          <w:szCs w:val="32"/>
          <w:highlight w:val="none"/>
        </w:rPr>
        <w:t>万元，支出决算为</w:t>
      </w:r>
      <w:r>
        <w:rPr>
          <w:rFonts w:hint="eastAsia" w:ascii="仿宋_GB2312" w:hAnsi="仿宋_GB2312" w:eastAsia="仿宋_GB2312" w:cs="仿宋_GB2312"/>
          <w:bCs/>
          <w:kern w:val="44"/>
          <w:sz w:val="32"/>
          <w:szCs w:val="32"/>
          <w:highlight w:val="none"/>
          <w:u w:val="single"/>
        </w:rPr>
        <w:t xml:space="preserve">  </w:t>
      </w:r>
      <w:r>
        <w:rPr>
          <w:rFonts w:hint="eastAsia" w:ascii="仿宋_GB2312" w:hAnsi="仿宋_GB2312" w:cs="仿宋_GB2312"/>
          <w:bCs/>
          <w:kern w:val="44"/>
          <w:sz w:val="32"/>
          <w:szCs w:val="32"/>
          <w:highlight w:val="none"/>
          <w:u w:val="single"/>
          <w:lang w:val="en-US" w:eastAsia="zh-CN"/>
        </w:rPr>
        <w:t>1244.18</w:t>
      </w:r>
      <w:r>
        <w:rPr>
          <w:rFonts w:hint="eastAsia" w:ascii="仿宋_GB2312" w:hAnsi="仿宋_GB2312" w:eastAsia="仿宋_GB2312" w:cs="仿宋_GB2312"/>
          <w:bCs/>
          <w:kern w:val="44"/>
          <w:sz w:val="32"/>
          <w:szCs w:val="32"/>
          <w:highlight w:val="none"/>
          <w:u w:val="single"/>
        </w:rPr>
        <w:t xml:space="preserve">  </w:t>
      </w:r>
      <w:r>
        <w:rPr>
          <w:rFonts w:hint="eastAsia" w:ascii="仿宋_GB2312" w:hAnsi="仿宋_GB2312" w:eastAsia="仿宋_GB2312" w:cs="仿宋_GB2312"/>
          <w:bCs/>
          <w:kern w:val="44"/>
          <w:sz w:val="32"/>
          <w:szCs w:val="32"/>
          <w:highlight w:val="none"/>
        </w:rPr>
        <w:t>万元，完成年</w:t>
      </w:r>
      <w:r>
        <w:rPr>
          <w:rFonts w:hint="eastAsia" w:ascii="仿宋_GB2312" w:hAnsi="仿宋_GB2312" w:eastAsia="仿宋_GB2312" w:cs="仿宋_GB2312"/>
          <w:bCs/>
          <w:color w:val="auto"/>
          <w:kern w:val="44"/>
          <w:sz w:val="32"/>
          <w:szCs w:val="32"/>
          <w:highlight w:val="none"/>
          <w:lang w:eastAsia="zh-CN"/>
        </w:rPr>
        <w:t>初</w:t>
      </w:r>
      <w:r>
        <w:rPr>
          <w:rFonts w:hint="eastAsia" w:ascii="仿宋_GB2312" w:hAnsi="仿宋_GB2312" w:eastAsia="仿宋_GB2312" w:cs="仿宋_GB2312"/>
          <w:bCs/>
          <w:kern w:val="44"/>
          <w:sz w:val="32"/>
          <w:szCs w:val="32"/>
          <w:highlight w:val="none"/>
        </w:rPr>
        <w:t>预算的</w:t>
      </w:r>
      <w:r>
        <w:rPr>
          <w:rFonts w:hint="eastAsia" w:ascii="仿宋_GB2312" w:hAnsi="仿宋_GB2312" w:eastAsia="仿宋_GB2312" w:cs="仿宋_GB2312"/>
          <w:bCs/>
          <w:kern w:val="44"/>
          <w:sz w:val="32"/>
          <w:szCs w:val="32"/>
          <w:highlight w:val="none"/>
          <w:u w:val="single"/>
        </w:rPr>
        <w:t xml:space="preserve">  </w:t>
      </w:r>
      <w:r>
        <w:rPr>
          <w:rFonts w:hint="eastAsia" w:ascii="仿宋_GB2312" w:hAnsi="仿宋_GB2312" w:cs="仿宋_GB2312"/>
          <w:bCs/>
          <w:kern w:val="44"/>
          <w:sz w:val="32"/>
          <w:szCs w:val="32"/>
          <w:highlight w:val="none"/>
          <w:u w:val="single"/>
          <w:lang w:val="en-US" w:eastAsia="zh-CN"/>
        </w:rPr>
        <w:t>333.1</w:t>
      </w:r>
      <w:r>
        <w:rPr>
          <w:rFonts w:hint="eastAsia" w:ascii="仿宋_GB2312" w:hAnsi="仿宋_GB2312" w:eastAsia="仿宋_GB2312" w:cs="仿宋_GB2312"/>
          <w:bCs/>
          <w:kern w:val="44"/>
          <w:sz w:val="32"/>
          <w:szCs w:val="32"/>
          <w:highlight w:val="none"/>
          <w:u w:val="single"/>
        </w:rPr>
        <w:t xml:space="preserve">  </w:t>
      </w:r>
      <w:r>
        <w:rPr>
          <w:rFonts w:hint="eastAsia" w:ascii="仿宋_GB2312" w:hAnsi="仿宋_GB2312" w:eastAsia="仿宋_GB2312" w:cs="仿宋_GB2312"/>
          <w:bCs/>
          <w:kern w:val="44"/>
          <w:sz w:val="32"/>
          <w:szCs w:val="32"/>
          <w:highlight w:val="none"/>
        </w:rPr>
        <w:t>%，支出决算数</w:t>
      </w:r>
      <w:r>
        <w:rPr>
          <w:rFonts w:hint="eastAsia" w:ascii="仿宋_GB2312" w:hAnsi="仿宋_GB2312" w:eastAsia="仿宋_GB2312" w:cs="仿宋_GB2312"/>
          <w:bCs/>
          <w:kern w:val="44"/>
          <w:sz w:val="32"/>
          <w:szCs w:val="32"/>
          <w:highlight w:val="none"/>
          <w:lang w:eastAsia="zh-CN"/>
        </w:rPr>
        <w:t>大</w:t>
      </w:r>
      <w:r>
        <w:rPr>
          <w:rFonts w:hint="eastAsia" w:ascii="仿宋_GB2312" w:hAnsi="仿宋_GB2312" w:eastAsia="仿宋_GB2312" w:cs="仿宋_GB2312"/>
          <w:bCs/>
          <w:kern w:val="44"/>
          <w:sz w:val="32"/>
          <w:szCs w:val="32"/>
          <w:highlight w:val="none"/>
        </w:rPr>
        <w:t>于年</w:t>
      </w:r>
      <w:r>
        <w:rPr>
          <w:rFonts w:hint="eastAsia" w:ascii="仿宋_GB2312" w:hAnsi="仿宋_GB2312" w:eastAsia="仿宋_GB2312" w:cs="仿宋_GB2312"/>
          <w:bCs/>
          <w:color w:val="auto"/>
          <w:kern w:val="44"/>
          <w:sz w:val="32"/>
          <w:szCs w:val="32"/>
          <w:highlight w:val="none"/>
          <w:lang w:eastAsia="zh-CN"/>
        </w:rPr>
        <w:t>初</w:t>
      </w:r>
      <w:r>
        <w:rPr>
          <w:rFonts w:hint="eastAsia" w:ascii="仿宋_GB2312" w:hAnsi="仿宋_GB2312" w:eastAsia="仿宋_GB2312" w:cs="仿宋_GB2312"/>
          <w:bCs/>
          <w:kern w:val="44"/>
          <w:sz w:val="32"/>
          <w:szCs w:val="32"/>
          <w:highlight w:val="none"/>
        </w:rPr>
        <w:t>预算数的主要原因</w:t>
      </w:r>
      <w:r>
        <w:rPr>
          <w:rFonts w:hint="eastAsia" w:ascii="仿宋_GB2312" w:hAnsi="仿宋_GB2312" w:eastAsia="仿宋_GB2312" w:cs="仿宋_GB2312"/>
          <w:bCs/>
          <w:kern w:val="44"/>
          <w:sz w:val="32"/>
          <w:szCs w:val="32"/>
          <w:highlight w:val="none"/>
          <w:lang w:eastAsia="zh-CN"/>
        </w:rPr>
        <w:t>：</w:t>
      </w:r>
      <w:r>
        <w:rPr>
          <w:rFonts w:hint="eastAsia" w:ascii="仿宋_GB2312" w:hAnsi="仿宋_GB2312" w:eastAsia="仿宋_GB2312" w:cs="仿宋_GB2312"/>
          <w:bCs/>
          <w:kern w:val="44"/>
          <w:sz w:val="32"/>
          <w:szCs w:val="32"/>
          <w:highlight w:val="none"/>
        </w:rPr>
        <w:t>一是</w:t>
      </w:r>
      <w:r>
        <w:rPr>
          <w:rFonts w:hint="eastAsia" w:ascii="仿宋_GB2312" w:hAnsi="仿宋_GB2312" w:cs="仿宋_GB2312"/>
          <w:bCs/>
          <w:kern w:val="44"/>
          <w:sz w:val="32"/>
          <w:szCs w:val="32"/>
          <w:highlight w:val="none"/>
          <w:lang w:val="en-US" w:eastAsia="zh-CN"/>
        </w:rPr>
        <w:t>人员绩效拨款的核定和补发</w:t>
      </w:r>
      <w:r>
        <w:rPr>
          <w:rFonts w:hint="eastAsia" w:ascii="仿宋_GB2312" w:hAnsi="仿宋_GB2312" w:eastAsia="仿宋_GB2312" w:cs="仿宋_GB2312"/>
          <w:bCs/>
          <w:kern w:val="44"/>
          <w:sz w:val="32"/>
          <w:szCs w:val="32"/>
          <w:highlight w:val="none"/>
        </w:rPr>
        <w:t>；二是</w:t>
      </w:r>
      <w:r>
        <w:rPr>
          <w:rFonts w:hint="eastAsia" w:ascii="仿宋_GB2312" w:hAnsi="仿宋_GB2312" w:cs="仿宋_GB2312"/>
          <w:bCs/>
          <w:kern w:val="44"/>
          <w:sz w:val="32"/>
          <w:szCs w:val="32"/>
          <w:highlight w:val="none"/>
          <w:lang w:val="en-US" w:eastAsia="zh-CN"/>
        </w:rPr>
        <w:t>一般行政管理事务中项目拨款的增加</w:t>
      </w:r>
      <w:r>
        <w:rPr>
          <w:rFonts w:hint="eastAsia" w:ascii="仿宋_GB2312" w:hAnsi="仿宋_GB2312" w:eastAsia="仿宋_GB2312" w:cs="仿宋_GB2312"/>
          <w:bCs/>
          <w:kern w:val="44"/>
          <w:sz w:val="32"/>
          <w:szCs w:val="32"/>
          <w:highlight w:val="none"/>
        </w:rPr>
        <w:t>。</w:t>
      </w:r>
    </w:p>
    <w:p w14:paraId="31694328">
      <w:pPr>
        <w:pStyle w:val="12"/>
        <w:pageBreakBefore w:val="0"/>
        <w:widowControl w:val="0"/>
        <w:kinsoku/>
        <w:wordWrap/>
        <w:overflowPunct/>
        <w:topLinePunct w:val="0"/>
        <w:bidi w:val="0"/>
        <w:snapToGrid w:val="0"/>
        <w:spacing w:line="360" w:lineRule="auto"/>
        <w:ind w:firstLine="640" w:firstLineChars="200"/>
        <w:jc w:val="both"/>
        <w:textAlignment w:val="auto"/>
        <w:rPr>
          <w:rFonts w:hint="eastAsia" w:hAnsi="仿宋_GB2312" w:cs="仿宋_GB2312"/>
          <w:bCs/>
          <w:color w:val="auto"/>
          <w:kern w:val="44"/>
          <w:sz w:val="32"/>
          <w:szCs w:val="32"/>
          <w:highlight w:val="none"/>
          <w:lang w:val="en-US" w:eastAsia="zh-CN"/>
        </w:rPr>
      </w:pPr>
      <w:r>
        <w:rPr>
          <w:rFonts w:hint="eastAsia" w:ascii="仿宋_GB2312" w:hAnsi="仿宋_GB2312" w:eastAsia="仿宋_GB2312" w:cs="仿宋_GB2312"/>
          <w:bCs/>
          <w:color w:val="auto"/>
          <w:kern w:val="44"/>
          <w:sz w:val="32"/>
          <w:szCs w:val="32"/>
          <w:highlight w:val="none"/>
        </w:rPr>
        <w:t>2.</w:t>
      </w:r>
      <w:r>
        <w:rPr>
          <w:rFonts w:hint="eastAsia" w:hAnsi="仿宋_GB2312" w:cs="仿宋_GB2312"/>
          <w:bCs/>
          <w:color w:val="auto"/>
          <w:kern w:val="44"/>
          <w:sz w:val="32"/>
          <w:szCs w:val="32"/>
          <w:highlight w:val="none"/>
          <w:lang w:val="en-US" w:eastAsia="zh-CN"/>
        </w:rPr>
        <w:t>城乡社区（类）支出。年初预算支出79.2万元。支出决算为40.5万，完成年初预算的51.1%，决算数小于年初预算数的主要原因是部分工作末按原计划实施</w:t>
      </w:r>
    </w:p>
    <w:p w14:paraId="3BF9B7C1">
      <w:pPr>
        <w:pStyle w:val="12"/>
        <w:pageBreakBefore w:val="0"/>
        <w:widowControl w:val="0"/>
        <w:kinsoku/>
        <w:wordWrap/>
        <w:overflowPunct/>
        <w:topLinePunct w:val="0"/>
        <w:bidi w:val="0"/>
        <w:snapToGrid w:val="0"/>
        <w:spacing w:line="360" w:lineRule="auto"/>
        <w:ind w:firstLine="640" w:firstLineChars="200"/>
        <w:jc w:val="both"/>
        <w:textAlignment w:val="auto"/>
        <w:rPr>
          <w:rFonts w:hint="default" w:hAnsi="仿宋_GB2312" w:cs="仿宋_GB2312"/>
          <w:bCs/>
          <w:color w:val="auto"/>
          <w:kern w:val="44"/>
          <w:sz w:val="32"/>
          <w:szCs w:val="32"/>
          <w:highlight w:val="none"/>
          <w:lang w:val="en-US" w:eastAsia="zh-CN"/>
        </w:rPr>
      </w:pPr>
      <w:r>
        <w:rPr>
          <w:rFonts w:hint="eastAsia" w:hAnsi="仿宋_GB2312" w:cs="仿宋_GB2312"/>
          <w:bCs/>
          <w:color w:val="auto"/>
          <w:kern w:val="44"/>
          <w:sz w:val="32"/>
          <w:szCs w:val="32"/>
          <w:highlight w:val="none"/>
          <w:lang w:val="en-US" w:eastAsia="zh-CN"/>
        </w:rPr>
        <w:t>3，农林水（类）支出。年初预算278万元，支出决算为804.49万元，完成年初预算的289.3%，决算数大于预算数的主要原因：一是村级党群服务中心补助的增加，二是其他农业综合改革事务补款的增加。</w:t>
      </w:r>
    </w:p>
    <w:p w14:paraId="4BD65B6C">
      <w:pPr>
        <w:bidi w:val="0"/>
        <w:ind w:firstLine="640" w:firstLineChars="200"/>
        <w:rPr>
          <w:rFonts w:hint="eastAsia"/>
          <w:lang w:val="en-US" w:eastAsia="zh-CN"/>
        </w:rPr>
      </w:pPr>
      <w:r>
        <w:rPr>
          <w:rFonts w:hint="eastAsia" w:ascii="黑体" w:hAnsi="黑体" w:eastAsia="黑体" w:cs="黑体"/>
          <w:lang w:val="en-US" w:eastAsia="zh-CN"/>
        </w:rPr>
        <w:t>六、一般公共预算财政拨款基本支出决算情况说明</w:t>
      </w:r>
    </w:p>
    <w:p w14:paraId="6AA5B648">
      <w:pPr>
        <w:bidi w:val="0"/>
        <w:ind w:firstLine="640" w:firstLineChars="200"/>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202</w:t>
      </w:r>
      <w:r>
        <w:rPr>
          <w:rFonts w:hint="eastAsia" w:ascii="仿宋_GB2312" w:hAnsi="仿宋_GB2312" w:cs="仿宋_GB2312"/>
          <w:lang w:val="en-US" w:eastAsia="zh-CN"/>
        </w:rPr>
        <w:t>2</w:t>
      </w:r>
      <w:r>
        <w:rPr>
          <w:rFonts w:hint="eastAsia" w:ascii="仿宋_GB2312" w:hAnsi="仿宋_GB2312" w:eastAsia="仿宋_GB2312" w:cs="仿宋_GB2312"/>
          <w:lang w:val="en-US" w:eastAsia="zh-CN"/>
        </w:rPr>
        <w:t>年度一般公共预算财政拨款基本支出</w:t>
      </w:r>
      <w:r>
        <w:rPr>
          <w:rFonts w:hint="eastAsia" w:ascii="仿宋_GB2312" w:hAnsi="仿宋_GB2312" w:eastAsia="仿宋_GB2312" w:cs="仿宋_GB2312"/>
          <w:u w:val="single"/>
          <w:lang w:val="en-US" w:eastAsia="zh-CN"/>
        </w:rPr>
        <w:t xml:space="preserve"> </w:t>
      </w:r>
      <w:r>
        <w:rPr>
          <w:rFonts w:hint="eastAsia" w:ascii="仿宋_GB2312" w:hAnsi="仿宋_GB2312" w:cs="仿宋_GB2312"/>
          <w:u w:val="single"/>
          <w:lang w:val="en-US" w:eastAsia="zh-CN"/>
        </w:rPr>
        <w:t>1156.55</w:t>
      </w:r>
      <w:r>
        <w:rPr>
          <w:rFonts w:hint="eastAsia" w:ascii="仿宋_GB2312" w:hAnsi="仿宋_GB2312" w:eastAsia="仿宋_GB2312" w:cs="仿宋_GB2312"/>
          <w:u w:val="single"/>
          <w:lang w:val="en-US" w:eastAsia="zh-CN"/>
        </w:rPr>
        <w:t xml:space="preserve">   </w:t>
      </w:r>
      <w:r>
        <w:rPr>
          <w:rFonts w:hint="eastAsia" w:ascii="仿宋_GB2312" w:hAnsi="仿宋_GB2312" w:eastAsia="仿宋_GB2312" w:cs="仿宋_GB2312"/>
          <w:lang w:val="en-US" w:eastAsia="zh-CN"/>
        </w:rPr>
        <w:t>万元，其中：</w:t>
      </w:r>
    </w:p>
    <w:p w14:paraId="19232E4B">
      <w:pPr>
        <w:bidi w:val="0"/>
        <w:ind w:firstLine="640" w:firstLineChars="200"/>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人员经费</w:t>
      </w:r>
      <w:r>
        <w:rPr>
          <w:rFonts w:hint="eastAsia" w:ascii="仿宋_GB2312" w:hAnsi="仿宋_GB2312" w:eastAsia="仿宋_GB2312" w:cs="仿宋_GB2312"/>
          <w:u w:val="single"/>
          <w:lang w:val="en-US" w:eastAsia="zh-CN"/>
        </w:rPr>
        <w:t xml:space="preserve">  </w:t>
      </w:r>
      <w:r>
        <w:rPr>
          <w:rFonts w:hint="eastAsia" w:ascii="仿宋_GB2312" w:hAnsi="仿宋_GB2312" w:cs="仿宋_GB2312"/>
          <w:u w:val="single"/>
          <w:lang w:val="en-US" w:eastAsia="zh-CN"/>
        </w:rPr>
        <w:t>668.75</w:t>
      </w:r>
      <w:r>
        <w:rPr>
          <w:rFonts w:hint="eastAsia" w:ascii="仿宋_GB2312" w:hAnsi="仿宋_GB2312" w:eastAsia="仿宋_GB2312" w:cs="仿宋_GB2312"/>
          <w:u w:val="single"/>
          <w:lang w:val="en-US" w:eastAsia="zh-CN"/>
        </w:rPr>
        <w:t xml:space="preserve">  </w:t>
      </w:r>
      <w:r>
        <w:rPr>
          <w:rFonts w:hint="eastAsia" w:ascii="仿宋_GB2312" w:hAnsi="仿宋_GB2312" w:eastAsia="仿宋_GB2312" w:cs="仿宋_GB2312"/>
          <w:lang w:val="en-US" w:eastAsia="zh-CN"/>
        </w:rPr>
        <w:t>万元，主要包括：基本工资、津贴补贴、奖金、伙食补助费、绩效工资、机关事业单位基本养老保险缴费、职业年金缴费、职工基本医疗保险缴费、公务员医疗补助缴费、其他社会保障缴费、住房公积金、医疗费、其他工资福利支出、离休费、退休费、退职(役)费、抚恤金、生活补助、救济费、医疗费补助、助学金、奖励金、个人农业生产补贴、代缴社会保险费、其他对个人和家庭的补助。</w:t>
      </w:r>
    </w:p>
    <w:p w14:paraId="5593AB74">
      <w:pPr>
        <w:bidi w:val="0"/>
        <w:ind w:firstLine="640" w:firstLineChars="200"/>
        <w:rPr>
          <w:rFonts w:hint="eastAsia" w:ascii="仿宋_GB2312" w:hAnsi="仿宋_GB2312" w:eastAsia="仿宋_GB2312" w:cs="仿宋_GB2312"/>
          <w:b/>
          <w:bCs/>
          <w:lang w:val="en-US" w:eastAsia="zh-CN"/>
        </w:rPr>
      </w:pPr>
      <w:r>
        <w:rPr>
          <w:rFonts w:hint="eastAsia" w:ascii="仿宋_GB2312" w:hAnsi="仿宋_GB2312" w:eastAsia="仿宋_GB2312" w:cs="仿宋_GB2312"/>
          <w:lang w:val="en-US" w:eastAsia="zh-CN"/>
        </w:rPr>
        <w:t>公用经费</w:t>
      </w:r>
      <w:r>
        <w:rPr>
          <w:rFonts w:hint="eastAsia" w:ascii="仿宋_GB2312" w:hAnsi="仿宋_GB2312" w:eastAsia="仿宋_GB2312" w:cs="仿宋_GB2312"/>
          <w:u w:val="single"/>
          <w:lang w:val="en-US" w:eastAsia="zh-CN"/>
        </w:rPr>
        <w:t xml:space="preserve"> </w:t>
      </w:r>
      <w:r>
        <w:rPr>
          <w:rFonts w:hint="eastAsia" w:ascii="仿宋_GB2312" w:hAnsi="仿宋_GB2312" w:cs="仿宋_GB2312"/>
          <w:u w:val="single"/>
          <w:lang w:val="en-US" w:eastAsia="zh-CN"/>
        </w:rPr>
        <w:t>487.8</w:t>
      </w:r>
      <w:r>
        <w:rPr>
          <w:rFonts w:hint="eastAsia" w:ascii="仿宋_GB2312" w:hAnsi="仿宋_GB2312" w:eastAsia="仿宋_GB2312" w:cs="仿宋_GB2312"/>
          <w:u w:val="single"/>
          <w:lang w:val="en-US" w:eastAsia="zh-CN"/>
        </w:rPr>
        <w:t xml:space="preserve">   </w:t>
      </w:r>
      <w:r>
        <w:rPr>
          <w:rFonts w:hint="eastAsia" w:ascii="仿宋_GB2312" w:hAnsi="仿宋_GB2312" w:eastAsia="仿宋_GB2312" w:cs="仿宋_GB2312"/>
          <w:lang w:val="en-US" w:eastAsia="zh-CN"/>
        </w:rPr>
        <w:t>万元，主要包括：办公费、印刷费、咨询费、手续费、水费、电费、邮电费、取暖费、物业管理费、差旅费、因公出国(境)费用、维修(护)费、租赁费、会议费、培训费、公务接待费、专用材料费、被装购置费、专用燃料费、劳务费、委托业务费、工会经费、福利费、公务用车运行维护费、其他交通费用、税金及附加费用、其他商品和服务支出、办公设备购置、专用设备购置、信息网络及软件购置更新、公务用车购置、其他资本性支出。</w:t>
      </w:r>
    </w:p>
    <w:p w14:paraId="38B6AD79">
      <w:pPr>
        <w:numPr>
          <w:ilvl w:val="0"/>
          <w:numId w:val="0"/>
        </w:numPr>
        <w:bidi w:val="0"/>
        <w:ind w:firstLine="640" w:firstLineChars="200"/>
        <w:rPr>
          <w:rFonts w:hint="eastAsia" w:ascii="黑体" w:hAnsi="黑体" w:eastAsia="黑体" w:cs="黑体"/>
          <w:lang w:val="en-US" w:eastAsia="zh-CN"/>
        </w:rPr>
      </w:pPr>
      <w:r>
        <w:rPr>
          <w:rFonts w:hint="eastAsia" w:ascii="黑体" w:hAnsi="黑体" w:eastAsia="黑体" w:cs="黑体"/>
          <w:lang w:val="en-US" w:eastAsia="zh-CN"/>
        </w:rPr>
        <w:t xml:space="preserve">七、一般公共预算财政拨款“三公”经费支出决算情况说明 </w:t>
      </w:r>
    </w:p>
    <w:p w14:paraId="164DD95E">
      <w:pPr>
        <w:numPr>
          <w:ilvl w:val="0"/>
          <w:numId w:val="0"/>
        </w:numPr>
        <w:bidi w:val="0"/>
        <w:ind w:left="640" w:leftChars="200" w:firstLine="0" w:firstLineChars="0"/>
        <w:rPr>
          <w:rFonts w:hint="eastAsia" w:ascii="楷体_GB2312" w:hAnsi="楷体_GB2312" w:eastAsia="楷体_GB2312" w:cs="楷体_GB2312"/>
          <w:lang w:val="en-US" w:eastAsia="zh-CN"/>
        </w:rPr>
      </w:pPr>
      <w:r>
        <w:rPr>
          <w:rFonts w:hint="eastAsia" w:ascii="楷体_GB2312" w:hAnsi="楷体_GB2312" w:eastAsia="楷体_GB2312" w:cs="楷体_GB2312"/>
          <w:lang w:val="en-US" w:eastAsia="zh-CN"/>
        </w:rPr>
        <w:t>（一）“三公”经费财政拨款支出决算总体情况说明。</w:t>
      </w:r>
    </w:p>
    <w:p w14:paraId="1A899307">
      <w:pPr>
        <w:numPr>
          <w:ilvl w:val="0"/>
          <w:numId w:val="0"/>
        </w:numPr>
        <w:bidi w:val="0"/>
        <w:ind w:firstLine="640" w:firstLineChars="200"/>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202</w:t>
      </w:r>
      <w:r>
        <w:rPr>
          <w:rFonts w:hint="eastAsia" w:ascii="仿宋_GB2312" w:hAnsi="仿宋_GB2312" w:cs="仿宋_GB2312"/>
          <w:lang w:val="en-US" w:eastAsia="zh-CN"/>
        </w:rPr>
        <w:t>2</w:t>
      </w:r>
      <w:r>
        <w:rPr>
          <w:rFonts w:hint="eastAsia" w:ascii="仿宋_GB2312" w:hAnsi="仿宋_GB2312" w:eastAsia="仿宋_GB2312" w:cs="仿宋_GB2312"/>
          <w:lang w:val="en-US" w:eastAsia="zh-CN"/>
        </w:rPr>
        <w:t>年度“三公”经费财政拨款支出预算为</w:t>
      </w:r>
      <w:r>
        <w:rPr>
          <w:rFonts w:hint="eastAsia" w:ascii="仿宋_GB2312" w:hAnsi="仿宋_GB2312" w:eastAsia="仿宋_GB2312" w:cs="仿宋_GB2312"/>
          <w:u w:val="single"/>
          <w:lang w:val="en-US" w:eastAsia="zh-CN"/>
        </w:rPr>
        <w:t xml:space="preserve"> </w:t>
      </w:r>
      <w:r>
        <w:rPr>
          <w:rFonts w:hint="eastAsia" w:ascii="仿宋_GB2312" w:hAnsi="仿宋_GB2312" w:cs="仿宋_GB2312"/>
          <w:u w:val="single"/>
          <w:lang w:val="en-US" w:eastAsia="zh-CN"/>
        </w:rPr>
        <w:t>22.15</w:t>
      </w:r>
      <w:r>
        <w:rPr>
          <w:rFonts w:hint="eastAsia" w:ascii="仿宋_GB2312" w:hAnsi="仿宋_GB2312" w:eastAsia="仿宋_GB2312" w:cs="仿宋_GB2312"/>
          <w:u w:val="single"/>
          <w:lang w:val="en-US" w:eastAsia="zh-CN"/>
        </w:rPr>
        <w:t xml:space="preserve">  </w:t>
      </w:r>
      <w:r>
        <w:rPr>
          <w:rFonts w:hint="eastAsia" w:ascii="仿宋_GB2312" w:hAnsi="仿宋_GB2312" w:eastAsia="仿宋_GB2312" w:cs="仿宋_GB2312"/>
          <w:lang w:val="en-US" w:eastAsia="zh-CN"/>
        </w:rPr>
        <w:t>万元，支出决算为</w:t>
      </w:r>
      <w:r>
        <w:rPr>
          <w:rFonts w:hint="eastAsia" w:ascii="仿宋_GB2312" w:hAnsi="仿宋_GB2312" w:eastAsia="仿宋_GB2312" w:cs="仿宋_GB2312"/>
          <w:u w:val="single"/>
          <w:lang w:val="en-US" w:eastAsia="zh-CN"/>
        </w:rPr>
        <w:t xml:space="preserve"> </w:t>
      </w:r>
      <w:r>
        <w:rPr>
          <w:rFonts w:hint="eastAsia" w:ascii="仿宋_GB2312" w:hAnsi="仿宋_GB2312" w:cs="仿宋_GB2312"/>
          <w:u w:val="single"/>
          <w:lang w:val="en-US" w:eastAsia="zh-CN"/>
        </w:rPr>
        <w:t>5.34</w:t>
      </w:r>
      <w:r>
        <w:rPr>
          <w:rFonts w:hint="eastAsia" w:ascii="仿宋_GB2312" w:hAnsi="仿宋_GB2312" w:eastAsia="仿宋_GB2312" w:cs="仿宋_GB2312"/>
          <w:u w:val="single"/>
          <w:lang w:val="en-US" w:eastAsia="zh-CN"/>
        </w:rPr>
        <w:t xml:space="preserve">  </w:t>
      </w:r>
      <w:r>
        <w:rPr>
          <w:rFonts w:hint="eastAsia" w:ascii="仿宋_GB2312" w:hAnsi="仿宋_GB2312" w:eastAsia="仿宋_GB2312" w:cs="仿宋_GB2312"/>
          <w:lang w:val="en-US" w:eastAsia="zh-CN"/>
        </w:rPr>
        <w:t>万元，完成预算的</w:t>
      </w:r>
      <w:r>
        <w:rPr>
          <w:rFonts w:hint="eastAsia" w:ascii="仿宋_GB2312" w:hAnsi="仿宋_GB2312" w:eastAsia="仿宋_GB2312" w:cs="仿宋_GB2312"/>
          <w:u w:val="single"/>
          <w:lang w:val="en-US" w:eastAsia="zh-CN"/>
        </w:rPr>
        <w:t xml:space="preserve">  </w:t>
      </w:r>
      <w:r>
        <w:rPr>
          <w:rFonts w:hint="eastAsia" w:ascii="仿宋_GB2312" w:hAnsi="仿宋_GB2312" w:cs="仿宋_GB2312"/>
          <w:u w:val="single"/>
          <w:lang w:val="en-US" w:eastAsia="zh-CN"/>
        </w:rPr>
        <w:t>24</w:t>
      </w:r>
      <w:r>
        <w:rPr>
          <w:rFonts w:hint="eastAsia" w:ascii="仿宋_GB2312" w:hAnsi="仿宋_GB2312" w:eastAsia="仿宋_GB2312" w:cs="仿宋_GB2312"/>
          <w:u w:val="single"/>
          <w:lang w:val="en-US" w:eastAsia="zh-CN"/>
        </w:rPr>
        <w:t xml:space="preserve"> </w:t>
      </w:r>
      <w:r>
        <w:rPr>
          <w:rFonts w:hint="eastAsia" w:ascii="仿宋_GB2312" w:hAnsi="仿宋_GB2312" w:eastAsia="仿宋_GB2312" w:cs="仿宋_GB2312"/>
          <w:lang w:val="en-US" w:eastAsia="zh-CN"/>
        </w:rPr>
        <w:t>%。决算数小于预算数的主要原因：一是</w:t>
      </w:r>
      <w:r>
        <w:rPr>
          <w:rFonts w:hint="eastAsia" w:ascii="仿宋_GB2312" w:hAnsi="仿宋_GB2312" w:cs="仿宋_GB2312"/>
          <w:lang w:val="en-US" w:eastAsia="zh-CN"/>
        </w:rPr>
        <w:t>认真落实八项规定精神和厉行节约要求，进一步从严控制“三公”经费支出</w:t>
      </w:r>
      <w:r>
        <w:rPr>
          <w:rFonts w:hint="eastAsia" w:ascii="仿宋_GB2312" w:hAnsi="仿宋_GB2312" w:eastAsia="仿宋_GB2312" w:cs="仿宋_GB2312"/>
          <w:lang w:val="en-US" w:eastAsia="zh-CN"/>
        </w:rPr>
        <w:t>； 二是</w:t>
      </w:r>
      <w:r>
        <w:rPr>
          <w:rFonts w:hint="eastAsia" w:ascii="仿宋_GB2312" w:hAnsi="仿宋_GB2312" w:cs="仿宋_GB2312"/>
          <w:lang w:val="en-US" w:eastAsia="zh-CN"/>
        </w:rPr>
        <w:t>当年招待费末及时入帐。</w:t>
      </w:r>
    </w:p>
    <w:p w14:paraId="06E68026">
      <w:pPr>
        <w:numPr>
          <w:ilvl w:val="0"/>
          <w:numId w:val="0"/>
        </w:numPr>
        <w:bidi w:val="0"/>
        <w:ind w:leftChars="200"/>
        <w:rPr>
          <w:rFonts w:hint="eastAsia" w:ascii="楷体_GB2312" w:hAnsi="楷体_GB2312" w:eastAsia="楷体_GB2312" w:cs="楷体_GB2312"/>
          <w:lang w:val="en-US" w:eastAsia="zh-CN"/>
        </w:rPr>
      </w:pPr>
      <w:r>
        <w:rPr>
          <w:rFonts w:hint="eastAsia" w:ascii="楷体_GB2312" w:hAnsi="楷体_GB2312" w:eastAsia="楷体_GB2312" w:cs="楷体_GB2312"/>
          <w:lang w:val="en-US" w:eastAsia="zh-CN"/>
        </w:rPr>
        <w:t>（二）“三公”经费财政拨款支出决算具体情况说明。</w:t>
      </w:r>
    </w:p>
    <w:p w14:paraId="35CF58B8">
      <w:pPr>
        <w:pageBreakBefore w:val="0"/>
        <w:widowControl w:val="0"/>
        <w:kinsoku/>
        <w:wordWrap/>
        <w:overflowPunct/>
        <w:topLinePunct w:val="0"/>
        <w:bidi w:val="0"/>
        <w:adjustRightInd w:val="0"/>
        <w:snapToGrid w:val="0"/>
        <w:spacing w:line="360" w:lineRule="auto"/>
        <w:ind w:firstLine="640" w:firstLineChars="200"/>
        <w:textAlignment w:val="auto"/>
        <w:rPr>
          <w:rFonts w:hint="eastAsia" w:ascii="仿宋_GB2312" w:eastAsia="仿宋_GB2312"/>
          <w:color w:val="000000"/>
          <w:sz w:val="32"/>
          <w:szCs w:val="32"/>
          <w:highlight w:val="yellow"/>
        </w:rPr>
      </w:pPr>
      <w:r>
        <w:rPr>
          <w:rFonts w:hint="eastAsia" w:ascii="仿宋_GB2312" w:eastAsia="仿宋_GB2312"/>
          <w:color w:val="000000"/>
          <w:sz w:val="32"/>
          <w:szCs w:val="32"/>
          <w:highlight w:val="none"/>
        </w:rPr>
        <w:t>1.因公出国(境)费</w:t>
      </w:r>
      <w:r>
        <w:rPr>
          <w:rFonts w:hint="eastAsia" w:ascii="仿宋_GB2312" w:eastAsia="仿宋_GB2312"/>
          <w:color w:val="000000"/>
          <w:sz w:val="32"/>
          <w:szCs w:val="32"/>
          <w:highlight w:val="none"/>
          <w:lang w:val="en-US" w:eastAsia="zh-CN"/>
        </w:rPr>
        <w:t>预算为</w:t>
      </w:r>
      <w:r>
        <w:rPr>
          <w:rFonts w:hint="eastAsia" w:ascii="仿宋_GB2312" w:eastAsia="仿宋_GB2312"/>
          <w:color w:val="000000"/>
          <w:sz w:val="32"/>
          <w:szCs w:val="32"/>
          <w:highlight w:val="none"/>
          <w:u w:val="single"/>
          <w:lang w:val="en-US" w:eastAsia="zh-CN"/>
        </w:rPr>
        <w:t xml:space="preserve">  </w:t>
      </w:r>
      <w:r>
        <w:rPr>
          <w:rFonts w:hint="eastAsia" w:ascii="仿宋_GB2312"/>
          <w:color w:val="000000"/>
          <w:sz w:val="32"/>
          <w:szCs w:val="32"/>
          <w:highlight w:val="none"/>
          <w:u w:val="single"/>
          <w:lang w:val="en-US" w:eastAsia="zh-CN"/>
        </w:rPr>
        <w:t>0</w:t>
      </w:r>
      <w:r>
        <w:rPr>
          <w:rFonts w:hint="eastAsia" w:ascii="仿宋_GB2312" w:eastAsia="仿宋_GB2312"/>
          <w:color w:val="000000"/>
          <w:sz w:val="32"/>
          <w:szCs w:val="32"/>
          <w:highlight w:val="none"/>
          <w:u w:val="single"/>
          <w:lang w:val="en-US" w:eastAsia="zh-CN"/>
        </w:rPr>
        <w:t xml:space="preserve"> </w:t>
      </w:r>
      <w:r>
        <w:rPr>
          <w:rFonts w:hint="eastAsia" w:ascii="仿宋_GB2312" w:eastAsia="仿宋_GB2312"/>
          <w:color w:val="000000"/>
          <w:sz w:val="32"/>
          <w:szCs w:val="32"/>
          <w:highlight w:val="none"/>
          <w:u w:val="none"/>
          <w:lang w:val="en-US" w:eastAsia="zh-CN"/>
        </w:rPr>
        <w:t>万元，</w:t>
      </w:r>
      <w:r>
        <w:rPr>
          <w:rFonts w:hint="eastAsia" w:ascii="仿宋_GB2312" w:eastAsia="仿宋_GB2312"/>
          <w:color w:val="000000"/>
          <w:sz w:val="32"/>
          <w:szCs w:val="32"/>
          <w:highlight w:val="none"/>
        </w:rPr>
        <w:t>支出决算为</w:t>
      </w:r>
      <w:r>
        <w:rPr>
          <w:rFonts w:hint="eastAsia" w:ascii="仿宋_GB2312" w:eastAsia="仿宋_GB2312"/>
          <w:color w:val="000000"/>
          <w:sz w:val="32"/>
          <w:szCs w:val="32"/>
          <w:highlight w:val="none"/>
          <w:u w:val="single"/>
        </w:rPr>
        <w:t xml:space="preserve"> </w:t>
      </w:r>
      <w:r>
        <w:rPr>
          <w:rFonts w:hint="eastAsia" w:ascii="仿宋_GB2312"/>
          <w:color w:val="000000"/>
          <w:sz w:val="32"/>
          <w:szCs w:val="32"/>
          <w:highlight w:val="none"/>
          <w:u w:val="single"/>
          <w:lang w:val="en-US" w:eastAsia="zh-CN"/>
        </w:rPr>
        <w:t>0</w:t>
      </w:r>
      <w:r>
        <w:rPr>
          <w:rFonts w:hint="eastAsia" w:ascii="仿宋_GB2312" w:eastAsia="仿宋_GB2312"/>
          <w:color w:val="000000"/>
          <w:sz w:val="32"/>
          <w:szCs w:val="32"/>
          <w:highlight w:val="none"/>
          <w:u w:val="single"/>
        </w:rPr>
        <w:t xml:space="preserve">   </w:t>
      </w:r>
      <w:r>
        <w:rPr>
          <w:rFonts w:hint="eastAsia" w:ascii="仿宋_GB2312" w:eastAsia="仿宋_GB2312"/>
          <w:color w:val="000000"/>
          <w:sz w:val="32"/>
          <w:szCs w:val="32"/>
          <w:highlight w:val="none"/>
        </w:rPr>
        <w:t>万元，</w:t>
      </w:r>
      <w:r>
        <w:rPr>
          <w:rFonts w:hint="eastAsia" w:ascii="仿宋_GB2312" w:eastAsia="仿宋_GB2312"/>
          <w:color w:val="000000"/>
          <w:sz w:val="32"/>
          <w:szCs w:val="32"/>
          <w:highlight w:val="none"/>
          <w:lang w:eastAsia="zh-CN"/>
        </w:rPr>
        <w:t>完成</w:t>
      </w:r>
      <w:r>
        <w:rPr>
          <w:rFonts w:hint="eastAsia" w:ascii="仿宋_GB2312" w:eastAsia="仿宋_GB2312"/>
          <w:color w:val="000000"/>
          <w:sz w:val="32"/>
          <w:szCs w:val="32"/>
          <w:highlight w:val="none"/>
        </w:rPr>
        <w:t>预算的</w:t>
      </w:r>
      <w:r>
        <w:rPr>
          <w:rFonts w:hint="eastAsia" w:ascii="仿宋_GB2312" w:eastAsia="仿宋_GB2312"/>
          <w:color w:val="000000"/>
          <w:sz w:val="32"/>
          <w:szCs w:val="32"/>
          <w:highlight w:val="none"/>
          <w:u w:val="single"/>
        </w:rPr>
        <w:t xml:space="preserve">  </w:t>
      </w:r>
      <w:r>
        <w:rPr>
          <w:rFonts w:hint="eastAsia" w:ascii="仿宋_GB2312"/>
          <w:color w:val="000000"/>
          <w:sz w:val="32"/>
          <w:szCs w:val="32"/>
          <w:highlight w:val="none"/>
          <w:u w:val="single"/>
          <w:lang w:val="en-US" w:eastAsia="zh-CN"/>
        </w:rPr>
        <w:t>0</w:t>
      </w:r>
      <w:r>
        <w:rPr>
          <w:rFonts w:hint="eastAsia" w:ascii="仿宋_GB2312" w:eastAsia="仿宋_GB2312"/>
          <w:color w:val="000000"/>
          <w:sz w:val="32"/>
          <w:szCs w:val="32"/>
          <w:highlight w:val="none"/>
          <w:u w:val="single"/>
        </w:rPr>
        <w:t xml:space="preserve">  </w:t>
      </w:r>
      <w:r>
        <w:rPr>
          <w:rFonts w:hint="eastAsia" w:ascii="仿宋_GB2312" w:eastAsia="仿宋_GB2312"/>
          <w:color w:val="000000"/>
          <w:sz w:val="32"/>
          <w:szCs w:val="32"/>
          <w:highlight w:val="none"/>
        </w:rPr>
        <w:t>%，比预算增加(减少)</w:t>
      </w:r>
      <w:r>
        <w:rPr>
          <w:rFonts w:hint="eastAsia" w:ascii="仿宋_GB2312" w:eastAsia="仿宋_GB2312"/>
          <w:color w:val="000000"/>
          <w:sz w:val="32"/>
          <w:szCs w:val="32"/>
          <w:highlight w:val="none"/>
          <w:u w:val="single"/>
        </w:rPr>
        <w:t xml:space="preserve">   </w:t>
      </w:r>
      <w:r>
        <w:rPr>
          <w:rFonts w:hint="eastAsia" w:ascii="仿宋_GB2312"/>
          <w:color w:val="000000"/>
          <w:sz w:val="32"/>
          <w:szCs w:val="32"/>
          <w:highlight w:val="none"/>
          <w:u w:val="single"/>
          <w:lang w:val="en-US" w:eastAsia="zh-CN"/>
        </w:rPr>
        <w:t>0</w:t>
      </w:r>
      <w:r>
        <w:rPr>
          <w:rFonts w:hint="eastAsia" w:ascii="仿宋_GB2312" w:eastAsia="仿宋_GB2312"/>
          <w:color w:val="000000"/>
          <w:sz w:val="32"/>
          <w:szCs w:val="32"/>
          <w:highlight w:val="none"/>
          <w:u w:val="single"/>
        </w:rPr>
        <w:t xml:space="preserve">  </w:t>
      </w:r>
      <w:r>
        <w:rPr>
          <w:rFonts w:hint="eastAsia" w:ascii="仿宋_GB2312" w:eastAsia="仿宋_GB2312"/>
          <w:color w:val="000000"/>
          <w:sz w:val="32"/>
          <w:szCs w:val="32"/>
          <w:highlight w:val="none"/>
        </w:rPr>
        <w:t>万元，主要原因是</w:t>
      </w:r>
      <w:r>
        <w:rPr>
          <w:rFonts w:hint="eastAsia" w:ascii="仿宋_GB2312"/>
          <w:color w:val="000000"/>
          <w:sz w:val="32"/>
          <w:szCs w:val="32"/>
          <w:highlight w:val="none"/>
          <w:lang w:val="en-US" w:eastAsia="zh-CN"/>
        </w:rPr>
        <w:t>本单位无该项预算支出</w:t>
      </w:r>
      <w:r>
        <w:rPr>
          <w:rFonts w:hint="eastAsia" w:ascii="仿宋_GB2312" w:eastAsia="仿宋_GB2312"/>
          <w:color w:val="000000"/>
          <w:sz w:val="32"/>
          <w:szCs w:val="32"/>
          <w:highlight w:val="none"/>
        </w:rPr>
        <w:t>。</w:t>
      </w:r>
    </w:p>
    <w:p w14:paraId="11260B06">
      <w:pPr>
        <w:pageBreakBefore w:val="0"/>
        <w:widowControl w:val="0"/>
        <w:kinsoku/>
        <w:wordWrap/>
        <w:overflowPunct/>
        <w:topLinePunct w:val="0"/>
        <w:bidi w:val="0"/>
        <w:adjustRightInd w:val="0"/>
        <w:snapToGrid w:val="0"/>
        <w:spacing w:line="360" w:lineRule="auto"/>
        <w:ind w:firstLine="640" w:firstLineChars="200"/>
        <w:textAlignment w:val="auto"/>
        <w:rPr>
          <w:rFonts w:hint="default" w:ascii="仿宋_GB2312" w:eastAsia="仿宋_GB2312"/>
          <w:color w:val="000000"/>
          <w:sz w:val="32"/>
          <w:szCs w:val="32"/>
          <w:highlight w:val="none"/>
          <w:u w:val="none"/>
          <w:lang w:val="en-US" w:eastAsia="zh-CN"/>
        </w:rPr>
      </w:pPr>
      <w:r>
        <w:rPr>
          <w:rFonts w:hint="eastAsia" w:ascii="仿宋_GB2312" w:eastAsia="仿宋_GB2312"/>
          <w:color w:val="000000"/>
          <w:sz w:val="32"/>
          <w:szCs w:val="32"/>
          <w:highlight w:val="none"/>
          <w:lang w:val="en-US" w:eastAsia="zh-CN"/>
        </w:rPr>
        <w:t>全年支出涉及出国（境）团组</w:t>
      </w:r>
      <w:r>
        <w:rPr>
          <w:rFonts w:hint="eastAsia" w:ascii="仿宋_GB2312" w:eastAsia="仿宋_GB2312"/>
          <w:color w:val="000000"/>
          <w:sz w:val="32"/>
          <w:szCs w:val="32"/>
          <w:highlight w:val="none"/>
          <w:u w:val="single"/>
          <w:lang w:val="en-US" w:eastAsia="zh-CN"/>
        </w:rPr>
        <w:t xml:space="preserve">  </w:t>
      </w:r>
      <w:r>
        <w:rPr>
          <w:rFonts w:hint="eastAsia" w:ascii="仿宋_GB2312"/>
          <w:color w:val="000000"/>
          <w:sz w:val="32"/>
          <w:szCs w:val="32"/>
          <w:highlight w:val="none"/>
          <w:u w:val="single"/>
          <w:lang w:val="en-US" w:eastAsia="zh-CN"/>
        </w:rPr>
        <w:t>0</w:t>
      </w:r>
      <w:r>
        <w:rPr>
          <w:rFonts w:hint="eastAsia" w:ascii="仿宋_GB2312" w:eastAsia="仿宋_GB2312"/>
          <w:color w:val="000000"/>
          <w:sz w:val="32"/>
          <w:szCs w:val="32"/>
          <w:highlight w:val="none"/>
          <w:u w:val="single"/>
          <w:lang w:val="en-US" w:eastAsia="zh-CN"/>
        </w:rPr>
        <w:t xml:space="preserve">  </w:t>
      </w:r>
      <w:r>
        <w:rPr>
          <w:rFonts w:hint="eastAsia" w:ascii="仿宋_GB2312" w:eastAsia="仿宋_GB2312"/>
          <w:color w:val="000000"/>
          <w:sz w:val="32"/>
          <w:szCs w:val="32"/>
          <w:highlight w:val="none"/>
          <w:u w:val="none"/>
          <w:lang w:val="en-US" w:eastAsia="zh-CN"/>
        </w:rPr>
        <w:t>个，累计</w:t>
      </w:r>
      <w:r>
        <w:rPr>
          <w:rFonts w:hint="eastAsia" w:ascii="仿宋_GB2312" w:eastAsia="仿宋_GB2312"/>
          <w:color w:val="000000"/>
          <w:sz w:val="32"/>
          <w:szCs w:val="32"/>
          <w:highlight w:val="none"/>
          <w:u w:val="single"/>
          <w:lang w:val="en-US" w:eastAsia="zh-CN"/>
        </w:rPr>
        <w:t xml:space="preserve">   </w:t>
      </w:r>
      <w:r>
        <w:rPr>
          <w:rFonts w:hint="eastAsia" w:ascii="仿宋_GB2312"/>
          <w:color w:val="000000"/>
          <w:sz w:val="32"/>
          <w:szCs w:val="32"/>
          <w:highlight w:val="none"/>
          <w:u w:val="single"/>
          <w:lang w:val="en-US" w:eastAsia="zh-CN"/>
        </w:rPr>
        <w:t>0</w:t>
      </w:r>
      <w:r>
        <w:rPr>
          <w:rFonts w:hint="eastAsia" w:ascii="仿宋_GB2312" w:eastAsia="仿宋_GB2312"/>
          <w:color w:val="000000"/>
          <w:sz w:val="32"/>
          <w:szCs w:val="32"/>
          <w:highlight w:val="none"/>
          <w:u w:val="single"/>
          <w:lang w:val="en-US" w:eastAsia="zh-CN"/>
        </w:rPr>
        <w:t xml:space="preserve"> </w:t>
      </w:r>
      <w:r>
        <w:rPr>
          <w:rFonts w:hint="eastAsia" w:ascii="仿宋_GB2312" w:eastAsia="仿宋_GB2312"/>
          <w:color w:val="000000"/>
          <w:sz w:val="32"/>
          <w:szCs w:val="32"/>
          <w:highlight w:val="none"/>
          <w:u w:val="none"/>
          <w:lang w:val="en-US" w:eastAsia="zh-CN"/>
        </w:rPr>
        <w:t>人次，</w:t>
      </w:r>
    </w:p>
    <w:p w14:paraId="102605BB">
      <w:pPr>
        <w:pageBreakBefore w:val="0"/>
        <w:widowControl w:val="0"/>
        <w:kinsoku/>
        <w:wordWrap/>
        <w:overflowPunct/>
        <w:topLinePunct w:val="0"/>
        <w:bidi w:val="0"/>
        <w:adjustRightInd w:val="0"/>
        <w:snapToGrid w:val="0"/>
        <w:spacing w:line="360" w:lineRule="auto"/>
        <w:ind w:firstLine="640" w:firstLineChars="200"/>
        <w:textAlignment w:val="auto"/>
        <w:rPr>
          <w:rFonts w:hint="eastAsia" w:ascii="仿宋_GB2312" w:eastAsia="仿宋_GB2312"/>
          <w:color w:val="000000"/>
          <w:sz w:val="32"/>
          <w:szCs w:val="32"/>
          <w:highlight w:val="yellow"/>
        </w:rPr>
      </w:pPr>
      <w:r>
        <w:rPr>
          <w:rFonts w:hint="eastAsia" w:ascii="仿宋_GB2312" w:eastAsia="仿宋_GB2312"/>
          <w:color w:val="000000"/>
          <w:sz w:val="32"/>
          <w:szCs w:val="32"/>
          <w:highlight w:val="none"/>
        </w:rPr>
        <w:t>2.公务用车购置及运行费支出决算为</w:t>
      </w:r>
      <w:r>
        <w:rPr>
          <w:rFonts w:hint="eastAsia" w:ascii="仿宋_GB2312" w:eastAsia="仿宋_GB2312"/>
          <w:color w:val="000000"/>
          <w:sz w:val="32"/>
          <w:szCs w:val="32"/>
          <w:highlight w:val="none"/>
          <w:u w:val="single"/>
        </w:rPr>
        <w:t xml:space="preserve"> </w:t>
      </w:r>
      <w:r>
        <w:rPr>
          <w:rFonts w:hint="eastAsia" w:ascii="仿宋_GB2312"/>
          <w:color w:val="000000"/>
          <w:sz w:val="32"/>
          <w:szCs w:val="32"/>
          <w:highlight w:val="none"/>
          <w:u w:val="single"/>
          <w:lang w:val="en-US" w:eastAsia="zh-CN"/>
        </w:rPr>
        <w:t>1.41</w:t>
      </w:r>
      <w:r>
        <w:rPr>
          <w:rFonts w:hint="eastAsia" w:ascii="仿宋_GB2312" w:eastAsia="仿宋_GB2312"/>
          <w:color w:val="000000"/>
          <w:sz w:val="32"/>
          <w:szCs w:val="32"/>
          <w:highlight w:val="none"/>
          <w:u w:val="single"/>
        </w:rPr>
        <w:t xml:space="preserve">   </w:t>
      </w:r>
      <w:r>
        <w:rPr>
          <w:rFonts w:hint="eastAsia" w:ascii="仿宋_GB2312" w:eastAsia="仿宋_GB2312"/>
          <w:color w:val="000000"/>
          <w:sz w:val="32"/>
          <w:szCs w:val="32"/>
          <w:highlight w:val="none"/>
        </w:rPr>
        <w:t>万元，完成</w:t>
      </w:r>
      <w:r>
        <w:rPr>
          <w:rFonts w:hint="eastAsia" w:ascii="仿宋_GB2312" w:eastAsia="仿宋_GB2312"/>
          <w:color w:val="000000"/>
          <w:sz w:val="32"/>
          <w:szCs w:val="32"/>
          <w:highlight w:val="none"/>
          <w:lang w:eastAsia="zh-CN"/>
        </w:rPr>
        <w:t>年初</w:t>
      </w:r>
      <w:r>
        <w:rPr>
          <w:rFonts w:hint="eastAsia" w:ascii="仿宋_GB2312" w:eastAsia="仿宋_GB2312"/>
          <w:color w:val="000000"/>
          <w:sz w:val="32"/>
          <w:szCs w:val="32"/>
          <w:highlight w:val="none"/>
        </w:rPr>
        <w:t>预算的</w:t>
      </w:r>
      <w:r>
        <w:rPr>
          <w:rFonts w:hint="eastAsia" w:ascii="仿宋_GB2312" w:eastAsia="仿宋_GB2312"/>
          <w:color w:val="000000"/>
          <w:sz w:val="32"/>
          <w:szCs w:val="32"/>
          <w:highlight w:val="none"/>
          <w:u w:val="single"/>
        </w:rPr>
        <w:t xml:space="preserve">   </w:t>
      </w:r>
      <w:r>
        <w:rPr>
          <w:rFonts w:hint="eastAsia" w:ascii="仿宋_GB2312"/>
          <w:color w:val="000000"/>
          <w:sz w:val="32"/>
          <w:szCs w:val="32"/>
          <w:highlight w:val="none"/>
          <w:u w:val="single"/>
          <w:lang w:val="en-US" w:eastAsia="zh-CN"/>
        </w:rPr>
        <w:t>43</w:t>
      </w:r>
      <w:r>
        <w:rPr>
          <w:rFonts w:hint="eastAsia" w:ascii="仿宋_GB2312" w:eastAsia="仿宋_GB2312"/>
          <w:color w:val="000000"/>
          <w:sz w:val="32"/>
          <w:szCs w:val="32"/>
          <w:highlight w:val="none"/>
          <w:u w:val="single"/>
        </w:rPr>
        <w:t xml:space="preserve">  </w:t>
      </w:r>
      <w:r>
        <w:rPr>
          <w:rFonts w:hint="eastAsia" w:ascii="仿宋_GB2312" w:eastAsia="仿宋_GB2312"/>
          <w:color w:val="000000"/>
          <w:sz w:val="32"/>
          <w:szCs w:val="32"/>
          <w:highlight w:val="none"/>
        </w:rPr>
        <w:t>%；其中：</w:t>
      </w:r>
    </w:p>
    <w:p w14:paraId="3A85DFC6">
      <w:pPr>
        <w:pageBreakBefore w:val="0"/>
        <w:widowControl w:val="0"/>
        <w:kinsoku/>
        <w:wordWrap/>
        <w:overflowPunct/>
        <w:topLinePunct w:val="0"/>
        <w:bidi w:val="0"/>
        <w:adjustRightInd w:val="0"/>
        <w:snapToGrid w:val="0"/>
        <w:spacing w:line="360" w:lineRule="auto"/>
        <w:ind w:firstLine="640" w:firstLineChars="200"/>
        <w:textAlignment w:val="auto"/>
        <w:rPr>
          <w:rFonts w:hint="eastAsia" w:ascii="仿宋_GB2312" w:eastAsia="仿宋_GB2312"/>
          <w:color w:val="000000"/>
          <w:sz w:val="32"/>
          <w:szCs w:val="32"/>
          <w:highlight w:val="none"/>
        </w:rPr>
      </w:pPr>
      <w:r>
        <w:rPr>
          <w:rFonts w:hint="eastAsia" w:ascii="仿宋_GB2312" w:eastAsia="仿宋_GB2312"/>
          <w:color w:val="000000"/>
          <w:sz w:val="32"/>
          <w:szCs w:val="32"/>
          <w:highlight w:val="none"/>
        </w:rPr>
        <w:t>(1)公务用车购置费</w:t>
      </w:r>
      <w:r>
        <w:rPr>
          <w:rFonts w:hint="eastAsia" w:ascii="仿宋_GB2312" w:eastAsia="仿宋_GB2312"/>
          <w:color w:val="000000"/>
          <w:sz w:val="32"/>
          <w:szCs w:val="32"/>
          <w:highlight w:val="none"/>
          <w:u w:val="single"/>
        </w:rPr>
        <w:t xml:space="preserve">  </w:t>
      </w:r>
      <w:r>
        <w:rPr>
          <w:rFonts w:hint="eastAsia" w:ascii="仿宋_GB2312"/>
          <w:color w:val="000000"/>
          <w:sz w:val="32"/>
          <w:szCs w:val="32"/>
          <w:highlight w:val="none"/>
          <w:u w:val="single"/>
          <w:lang w:val="en-US" w:eastAsia="zh-CN"/>
        </w:rPr>
        <w:t>0</w:t>
      </w:r>
      <w:r>
        <w:rPr>
          <w:rFonts w:hint="eastAsia" w:ascii="仿宋_GB2312" w:eastAsia="仿宋_GB2312"/>
          <w:color w:val="000000"/>
          <w:sz w:val="32"/>
          <w:szCs w:val="32"/>
          <w:highlight w:val="none"/>
          <w:u w:val="single"/>
        </w:rPr>
        <w:t xml:space="preserve"> </w:t>
      </w:r>
      <w:r>
        <w:rPr>
          <w:rFonts w:hint="eastAsia" w:ascii="仿宋_GB2312"/>
          <w:color w:val="000000"/>
          <w:sz w:val="32"/>
          <w:szCs w:val="32"/>
          <w:highlight w:val="none"/>
          <w:u w:val="single"/>
          <w:lang w:val="en-US" w:eastAsia="zh-CN"/>
        </w:rPr>
        <w:t xml:space="preserve"> </w:t>
      </w:r>
      <w:r>
        <w:rPr>
          <w:rFonts w:hint="eastAsia" w:ascii="仿宋_GB2312" w:eastAsia="仿宋_GB2312"/>
          <w:color w:val="000000"/>
          <w:sz w:val="32"/>
          <w:szCs w:val="32"/>
          <w:highlight w:val="none"/>
        </w:rPr>
        <w:t>万元，</w:t>
      </w:r>
      <w:r>
        <w:rPr>
          <w:rFonts w:hint="eastAsia" w:ascii="仿宋_GB2312" w:eastAsia="仿宋_GB2312"/>
          <w:color w:val="000000"/>
          <w:sz w:val="32"/>
          <w:szCs w:val="32"/>
          <w:highlight w:val="none"/>
          <w:lang w:eastAsia="zh-CN"/>
        </w:rPr>
        <w:t>完成年初</w:t>
      </w:r>
      <w:r>
        <w:rPr>
          <w:rFonts w:hint="eastAsia" w:ascii="仿宋_GB2312" w:eastAsia="仿宋_GB2312"/>
          <w:color w:val="000000"/>
          <w:sz w:val="32"/>
          <w:szCs w:val="32"/>
          <w:highlight w:val="none"/>
        </w:rPr>
        <w:t>预算的</w:t>
      </w:r>
      <w:r>
        <w:rPr>
          <w:rFonts w:hint="eastAsia" w:ascii="仿宋_GB2312" w:eastAsia="仿宋_GB2312"/>
          <w:color w:val="000000"/>
          <w:sz w:val="32"/>
          <w:szCs w:val="32"/>
          <w:highlight w:val="none"/>
          <w:u w:val="single"/>
        </w:rPr>
        <w:t xml:space="preserve"> </w:t>
      </w:r>
      <w:r>
        <w:rPr>
          <w:rFonts w:hint="eastAsia" w:ascii="仿宋_GB2312"/>
          <w:color w:val="000000"/>
          <w:sz w:val="32"/>
          <w:szCs w:val="32"/>
          <w:highlight w:val="none"/>
          <w:u w:val="single"/>
          <w:lang w:val="en-US" w:eastAsia="zh-CN"/>
        </w:rPr>
        <w:t>0</w:t>
      </w:r>
      <w:r>
        <w:rPr>
          <w:rFonts w:hint="eastAsia" w:ascii="仿宋_GB2312" w:eastAsia="仿宋_GB2312"/>
          <w:color w:val="000000"/>
          <w:sz w:val="32"/>
          <w:szCs w:val="32"/>
          <w:highlight w:val="none"/>
          <w:u w:val="single"/>
        </w:rPr>
        <w:t xml:space="preserve">   </w:t>
      </w:r>
      <w:r>
        <w:rPr>
          <w:rFonts w:hint="eastAsia" w:ascii="仿宋_GB2312" w:eastAsia="仿宋_GB2312"/>
          <w:color w:val="000000"/>
          <w:sz w:val="32"/>
          <w:szCs w:val="32"/>
          <w:highlight w:val="none"/>
        </w:rPr>
        <w:t>%，比</w:t>
      </w:r>
      <w:r>
        <w:rPr>
          <w:rFonts w:hint="eastAsia" w:ascii="仿宋_GB2312" w:eastAsia="仿宋_GB2312"/>
          <w:color w:val="000000"/>
          <w:sz w:val="32"/>
          <w:szCs w:val="32"/>
          <w:highlight w:val="none"/>
          <w:lang w:eastAsia="zh-CN"/>
        </w:rPr>
        <w:t>年初</w:t>
      </w:r>
      <w:r>
        <w:rPr>
          <w:rFonts w:hint="eastAsia" w:ascii="仿宋_GB2312" w:eastAsia="仿宋_GB2312"/>
          <w:color w:val="000000"/>
          <w:sz w:val="32"/>
          <w:szCs w:val="32"/>
          <w:highlight w:val="none"/>
        </w:rPr>
        <w:t>预算增加(减少)</w:t>
      </w:r>
      <w:r>
        <w:rPr>
          <w:rFonts w:hint="eastAsia" w:ascii="仿宋_GB2312" w:eastAsia="仿宋_GB2312"/>
          <w:color w:val="000000"/>
          <w:sz w:val="32"/>
          <w:szCs w:val="32"/>
          <w:highlight w:val="none"/>
          <w:u w:val="single"/>
        </w:rPr>
        <w:t xml:space="preserve"> </w:t>
      </w:r>
      <w:r>
        <w:rPr>
          <w:rFonts w:hint="eastAsia" w:ascii="仿宋_GB2312"/>
          <w:color w:val="000000"/>
          <w:sz w:val="32"/>
          <w:szCs w:val="32"/>
          <w:highlight w:val="none"/>
          <w:u w:val="single"/>
          <w:lang w:val="en-US" w:eastAsia="zh-CN"/>
        </w:rPr>
        <w:t>0</w:t>
      </w:r>
      <w:r>
        <w:rPr>
          <w:rFonts w:hint="eastAsia" w:ascii="仿宋_GB2312" w:eastAsia="仿宋_GB2312"/>
          <w:color w:val="000000"/>
          <w:sz w:val="32"/>
          <w:szCs w:val="32"/>
          <w:highlight w:val="none"/>
          <w:u w:val="single"/>
        </w:rPr>
        <w:t xml:space="preserve">   </w:t>
      </w:r>
      <w:r>
        <w:rPr>
          <w:rFonts w:hint="eastAsia" w:ascii="仿宋_GB2312" w:eastAsia="仿宋_GB2312"/>
          <w:color w:val="000000"/>
          <w:sz w:val="32"/>
          <w:szCs w:val="32"/>
          <w:highlight w:val="none"/>
        </w:rPr>
        <w:t>万元，本年度购置(更新)公务用车</w:t>
      </w:r>
      <w:r>
        <w:rPr>
          <w:rFonts w:hint="eastAsia" w:ascii="仿宋_GB2312" w:eastAsia="仿宋_GB2312"/>
          <w:color w:val="000000"/>
          <w:sz w:val="32"/>
          <w:szCs w:val="32"/>
          <w:highlight w:val="none"/>
          <w:u w:val="single"/>
        </w:rPr>
        <w:t xml:space="preserve"> </w:t>
      </w:r>
      <w:r>
        <w:rPr>
          <w:rFonts w:hint="eastAsia" w:ascii="仿宋_GB2312"/>
          <w:color w:val="000000"/>
          <w:sz w:val="32"/>
          <w:szCs w:val="32"/>
          <w:highlight w:val="none"/>
          <w:u w:val="single"/>
          <w:lang w:val="en-US" w:eastAsia="zh-CN"/>
        </w:rPr>
        <w:t>0</w:t>
      </w:r>
      <w:r>
        <w:rPr>
          <w:rFonts w:hint="eastAsia" w:ascii="仿宋_GB2312" w:eastAsia="仿宋_GB2312"/>
          <w:color w:val="000000"/>
          <w:sz w:val="32"/>
          <w:szCs w:val="32"/>
          <w:highlight w:val="none"/>
          <w:u w:val="single"/>
        </w:rPr>
        <w:t xml:space="preserve">   </w:t>
      </w:r>
      <w:r>
        <w:rPr>
          <w:rFonts w:hint="eastAsia" w:ascii="仿宋_GB2312" w:eastAsia="仿宋_GB2312"/>
          <w:color w:val="000000"/>
          <w:sz w:val="32"/>
          <w:szCs w:val="32"/>
          <w:highlight w:val="none"/>
        </w:rPr>
        <w:t>辆</w:t>
      </w:r>
      <w:r>
        <w:rPr>
          <w:rFonts w:hint="eastAsia" w:ascii="仿宋_GB2312" w:eastAsia="仿宋_GB2312"/>
          <w:color w:val="000000"/>
          <w:sz w:val="32"/>
          <w:szCs w:val="32"/>
          <w:highlight w:val="none"/>
          <w:lang w:eastAsia="zh-CN"/>
        </w:rPr>
        <w:t>。</w:t>
      </w:r>
    </w:p>
    <w:p w14:paraId="168BB78D">
      <w:pPr>
        <w:pageBreakBefore w:val="0"/>
        <w:widowControl w:val="0"/>
        <w:kinsoku/>
        <w:wordWrap/>
        <w:overflowPunct/>
        <w:topLinePunct w:val="0"/>
        <w:bidi w:val="0"/>
        <w:adjustRightInd w:val="0"/>
        <w:snapToGrid w:val="0"/>
        <w:spacing w:line="360" w:lineRule="auto"/>
        <w:ind w:firstLine="640" w:firstLineChars="200"/>
        <w:textAlignment w:val="auto"/>
        <w:rPr>
          <w:rFonts w:hint="eastAsia" w:ascii="仿宋_GB2312" w:eastAsia="仿宋_GB2312"/>
          <w:color w:val="000000"/>
          <w:sz w:val="32"/>
          <w:szCs w:val="32"/>
          <w:highlight w:val="none"/>
          <w:lang w:val="en-US" w:eastAsia="zh-CN"/>
        </w:rPr>
      </w:pPr>
      <w:r>
        <w:rPr>
          <w:rFonts w:hint="eastAsia" w:ascii="仿宋_GB2312" w:eastAsia="仿宋_GB2312"/>
          <w:color w:val="000000"/>
          <w:sz w:val="32"/>
          <w:szCs w:val="32"/>
          <w:highlight w:val="none"/>
        </w:rPr>
        <w:t>(2)公务用车运行费</w:t>
      </w:r>
      <w:r>
        <w:rPr>
          <w:rFonts w:hint="eastAsia" w:ascii="仿宋_GB2312" w:eastAsia="仿宋_GB2312"/>
          <w:color w:val="000000"/>
          <w:sz w:val="32"/>
          <w:szCs w:val="32"/>
          <w:highlight w:val="none"/>
          <w:u w:val="single"/>
        </w:rPr>
        <w:t xml:space="preserve">  </w:t>
      </w:r>
      <w:r>
        <w:rPr>
          <w:rFonts w:hint="eastAsia" w:ascii="仿宋_GB2312"/>
          <w:color w:val="000000"/>
          <w:sz w:val="32"/>
          <w:szCs w:val="32"/>
          <w:highlight w:val="none"/>
          <w:u w:val="single"/>
          <w:lang w:val="en-US" w:eastAsia="zh-CN"/>
        </w:rPr>
        <w:t>1.41</w:t>
      </w:r>
      <w:r>
        <w:rPr>
          <w:rFonts w:hint="eastAsia" w:ascii="仿宋_GB2312" w:eastAsia="仿宋_GB2312"/>
          <w:color w:val="000000"/>
          <w:sz w:val="32"/>
          <w:szCs w:val="32"/>
          <w:highlight w:val="none"/>
          <w:u w:val="single"/>
        </w:rPr>
        <w:t xml:space="preserve">  </w:t>
      </w:r>
      <w:r>
        <w:rPr>
          <w:rFonts w:hint="eastAsia" w:ascii="仿宋_GB2312" w:eastAsia="仿宋_GB2312"/>
          <w:color w:val="000000"/>
          <w:sz w:val="32"/>
          <w:szCs w:val="32"/>
          <w:highlight w:val="none"/>
        </w:rPr>
        <w:t>万元，</w:t>
      </w:r>
      <w:r>
        <w:rPr>
          <w:rFonts w:hint="eastAsia" w:ascii="仿宋_GB2312" w:eastAsia="仿宋_GB2312"/>
          <w:color w:val="000000"/>
          <w:sz w:val="32"/>
          <w:szCs w:val="32"/>
          <w:highlight w:val="none"/>
          <w:lang w:eastAsia="zh-CN"/>
        </w:rPr>
        <w:t>完成年初</w:t>
      </w:r>
      <w:r>
        <w:rPr>
          <w:rFonts w:hint="eastAsia" w:ascii="仿宋_GB2312" w:eastAsia="仿宋_GB2312"/>
          <w:color w:val="000000"/>
          <w:sz w:val="32"/>
          <w:szCs w:val="32"/>
          <w:highlight w:val="none"/>
        </w:rPr>
        <w:t>预算的</w:t>
      </w:r>
      <w:r>
        <w:rPr>
          <w:rFonts w:hint="eastAsia" w:ascii="仿宋_GB2312" w:eastAsia="仿宋_GB2312"/>
          <w:color w:val="000000"/>
          <w:sz w:val="32"/>
          <w:szCs w:val="32"/>
          <w:highlight w:val="none"/>
          <w:u w:val="single"/>
        </w:rPr>
        <w:t xml:space="preserve"> </w:t>
      </w:r>
      <w:r>
        <w:rPr>
          <w:rFonts w:hint="eastAsia" w:ascii="仿宋_GB2312"/>
          <w:color w:val="000000"/>
          <w:sz w:val="32"/>
          <w:szCs w:val="32"/>
          <w:highlight w:val="none"/>
          <w:u w:val="single"/>
          <w:lang w:val="en-US" w:eastAsia="zh-CN"/>
        </w:rPr>
        <w:t>43</w:t>
      </w:r>
      <w:r>
        <w:rPr>
          <w:rFonts w:hint="eastAsia" w:ascii="仿宋_GB2312" w:eastAsia="仿宋_GB2312"/>
          <w:color w:val="000000"/>
          <w:sz w:val="32"/>
          <w:szCs w:val="32"/>
          <w:highlight w:val="none"/>
          <w:u w:val="single"/>
        </w:rPr>
        <w:t xml:space="preserve">   </w:t>
      </w:r>
      <w:r>
        <w:rPr>
          <w:rFonts w:hint="eastAsia" w:ascii="仿宋_GB2312" w:eastAsia="仿宋_GB2312"/>
          <w:color w:val="000000"/>
          <w:sz w:val="32"/>
          <w:szCs w:val="32"/>
          <w:highlight w:val="none"/>
        </w:rPr>
        <w:t>%，比</w:t>
      </w:r>
      <w:r>
        <w:rPr>
          <w:rFonts w:hint="eastAsia" w:ascii="仿宋_GB2312" w:eastAsia="仿宋_GB2312"/>
          <w:color w:val="000000"/>
          <w:sz w:val="32"/>
          <w:szCs w:val="32"/>
          <w:highlight w:val="none"/>
          <w:lang w:eastAsia="zh-CN"/>
        </w:rPr>
        <w:t>年初</w:t>
      </w:r>
      <w:r>
        <w:rPr>
          <w:rFonts w:hint="eastAsia" w:ascii="仿宋_GB2312" w:eastAsia="仿宋_GB2312"/>
          <w:color w:val="000000"/>
          <w:sz w:val="32"/>
          <w:szCs w:val="32"/>
          <w:highlight w:val="none"/>
        </w:rPr>
        <w:t>预算增减少</w:t>
      </w:r>
      <w:r>
        <w:rPr>
          <w:rFonts w:hint="eastAsia" w:ascii="仿宋_GB2312" w:eastAsia="仿宋_GB2312"/>
          <w:color w:val="000000"/>
          <w:sz w:val="32"/>
          <w:szCs w:val="32"/>
          <w:highlight w:val="none"/>
          <w:u w:val="single"/>
        </w:rPr>
        <w:t xml:space="preserve">  </w:t>
      </w:r>
      <w:r>
        <w:rPr>
          <w:rFonts w:hint="eastAsia" w:ascii="仿宋_GB2312"/>
          <w:color w:val="000000"/>
          <w:sz w:val="32"/>
          <w:szCs w:val="32"/>
          <w:highlight w:val="none"/>
          <w:u w:val="single"/>
          <w:lang w:val="en-US" w:eastAsia="zh-CN"/>
        </w:rPr>
        <w:t>1.84</w:t>
      </w:r>
      <w:r>
        <w:rPr>
          <w:rFonts w:hint="eastAsia" w:ascii="仿宋_GB2312" w:eastAsia="仿宋_GB2312"/>
          <w:color w:val="000000"/>
          <w:sz w:val="32"/>
          <w:szCs w:val="32"/>
          <w:highlight w:val="none"/>
          <w:u w:val="single"/>
        </w:rPr>
        <w:t xml:space="preserve">  </w:t>
      </w:r>
      <w:r>
        <w:rPr>
          <w:rFonts w:hint="eastAsia" w:ascii="仿宋_GB2312" w:eastAsia="仿宋_GB2312"/>
          <w:color w:val="000000"/>
          <w:sz w:val="32"/>
          <w:szCs w:val="32"/>
          <w:highlight w:val="none"/>
        </w:rPr>
        <w:t>万元，主要原因是</w:t>
      </w:r>
      <w:r>
        <w:rPr>
          <w:rFonts w:hint="eastAsia" w:ascii="仿宋_GB2312"/>
          <w:color w:val="000000"/>
          <w:sz w:val="32"/>
          <w:szCs w:val="32"/>
          <w:highlight w:val="none"/>
          <w:lang w:val="en-US" w:eastAsia="zh-CN"/>
        </w:rPr>
        <w:t>从严控制支出</w:t>
      </w:r>
      <w:r>
        <w:rPr>
          <w:rFonts w:hint="eastAsia" w:ascii="仿宋_GB2312" w:eastAsia="仿宋_GB2312"/>
          <w:color w:val="000000"/>
          <w:sz w:val="32"/>
          <w:szCs w:val="32"/>
          <w:highlight w:val="none"/>
        </w:rPr>
        <w:t>。主要用于</w:t>
      </w:r>
      <w:r>
        <w:rPr>
          <w:rFonts w:hint="eastAsia" w:ascii="仿宋_GB2312"/>
          <w:color w:val="000000"/>
          <w:sz w:val="32"/>
          <w:szCs w:val="32"/>
          <w:highlight w:val="none"/>
          <w:lang w:val="en-US" w:eastAsia="zh-CN"/>
        </w:rPr>
        <w:t>公务车加油、保险、维修</w:t>
      </w:r>
      <w:r>
        <w:rPr>
          <w:rFonts w:hint="eastAsia" w:ascii="仿宋_GB2312" w:hAnsi="？？" w:eastAsia="仿宋_GB2312" w:cs="宋体"/>
          <w:color w:val="000000"/>
          <w:kern w:val="0"/>
          <w:sz w:val="32"/>
          <w:szCs w:val="32"/>
          <w:highlight w:val="none"/>
        </w:rPr>
        <w:t>。</w:t>
      </w:r>
      <w:r>
        <w:rPr>
          <w:rFonts w:hint="eastAsia" w:ascii="仿宋_GB2312" w:eastAsia="仿宋_GB2312"/>
          <w:color w:val="000000"/>
          <w:sz w:val="32"/>
          <w:szCs w:val="32"/>
          <w:highlight w:val="none"/>
          <w:lang w:eastAsia="zh-CN"/>
        </w:rPr>
        <w:t>截止</w:t>
      </w:r>
      <w:r>
        <w:rPr>
          <w:rFonts w:hint="eastAsia" w:ascii="仿宋_GB2312"/>
          <w:color w:val="000000"/>
          <w:sz w:val="32"/>
          <w:szCs w:val="32"/>
          <w:highlight w:val="none"/>
          <w:lang w:val="en-US" w:eastAsia="zh-CN"/>
        </w:rPr>
        <w:t>2022年</w:t>
      </w:r>
      <w:r>
        <w:rPr>
          <w:rFonts w:hint="eastAsia" w:ascii="仿宋_GB2312" w:eastAsia="仿宋_GB2312"/>
          <w:color w:val="000000"/>
          <w:sz w:val="32"/>
          <w:szCs w:val="32"/>
          <w:highlight w:val="none"/>
          <w:lang w:val="en-US" w:eastAsia="zh-CN"/>
        </w:rPr>
        <w:t>12月31日，开支财政拨款的公务用车保有量</w:t>
      </w:r>
      <w:r>
        <w:rPr>
          <w:rFonts w:hint="eastAsia" w:ascii="仿宋_GB2312" w:eastAsia="仿宋_GB2312"/>
          <w:color w:val="000000"/>
          <w:sz w:val="32"/>
          <w:szCs w:val="32"/>
          <w:highlight w:val="none"/>
          <w:u w:val="single"/>
        </w:rPr>
        <w:t xml:space="preserve">  </w:t>
      </w:r>
      <w:r>
        <w:rPr>
          <w:rFonts w:hint="eastAsia" w:ascii="仿宋_GB2312"/>
          <w:color w:val="000000"/>
          <w:sz w:val="32"/>
          <w:szCs w:val="32"/>
          <w:highlight w:val="none"/>
          <w:u w:val="single"/>
          <w:lang w:val="en-US" w:eastAsia="zh-CN"/>
        </w:rPr>
        <w:t>1</w:t>
      </w:r>
      <w:r>
        <w:rPr>
          <w:rFonts w:hint="eastAsia" w:ascii="仿宋_GB2312" w:eastAsia="仿宋_GB2312"/>
          <w:color w:val="000000"/>
          <w:sz w:val="32"/>
          <w:szCs w:val="32"/>
          <w:highlight w:val="none"/>
          <w:u w:val="single"/>
        </w:rPr>
        <w:t xml:space="preserve">  </w:t>
      </w:r>
      <w:r>
        <w:rPr>
          <w:rFonts w:hint="eastAsia" w:ascii="仿宋_GB2312" w:eastAsia="仿宋_GB2312"/>
          <w:color w:val="000000"/>
          <w:sz w:val="32"/>
          <w:szCs w:val="32"/>
          <w:highlight w:val="none"/>
        </w:rPr>
        <w:t>辆</w:t>
      </w:r>
      <w:r>
        <w:rPr>
          <w:rFonts w:hint="eastAsia" w:ascii="仿宋_GB2312" w:eastAsia="仿宋_GB2312"/>
          <w:color w:val="000000"/>
          <w:sz w:val="32"/>
          <w:szCs w:val="32"/>
          <w:highlight w:val="none"/>
          <w:lang w:eastAsia="zh-CN"/>
        </w:rPr>
        <w:t>。</w:t>
      </w:r>
    </w:p>
    <w:p w14:paraId="194C27EF">
      <w:pPr>
        <w:pageBreakBefore w:val="0"/>
        <w:widowControl w:val="0"/>
        <w:kinsoku/>
        <w:wordWrap/>
        <w:overflowPunct/>
        <w:topLinePunct w:val="0"/>
        <w:bidi w:val="0"/>
        <w:adjustRightInd w:val="0"/>
        <w:snapToGrid w:val="0"/>
        <w:spacing w:line="360" w:lineRule="auto"/>
        <w:ind w:firstLine="640" w:firstLineChars="200"/>
        <w:textAlignment w:val="auto"/>
        <w:rPr>
          <w:rFonts w:hint="eastAsia" w:ascii="仿宋_GB2312" w:eastAsia="仿宋_GB2312"/>
          <w:color w:val="000000"/>
          <w:sz w:val="32"/>
          <w:szCs w:val="32"/>
          <w:highlight w:val="none"/>
          <w:lang w:val="en-US" w:eastAsia="zh-CN"/>
        </w:rPr>
      </w:pPr>
      <w:r>
        <w:rPr>
          <w:rFonts w:hint="eastAsia" w:ascii="仿宋_GB2312" w:eastAsia="仿宋_GB2312"/>
          <w:color w:val="000000"/>
          <w:sz w:val="32"/>
          <w:szCs w:val="32"/>
          <w:highlight w:val="none"/>
        </w:rPr>
        <w:t>3.公务接待费支出决算为</w:t>
      </w:r>
      <w:r>
        <w:rPr>
          <w:rFonts w:hint="eastAsia" w:ascii="仿宋_GB2312" w:eastAsia="仿宋_GB2312"/>
          <w:color w:val="000000"/>
          <w:sz w:val="32"/>
          <w:szCs w:val="32"/>
          <w:highlight w:val="none"/>
          <w:u w:val="single"/>
        </w:rPr>
        <w:t xml:space="preserve"> </w:t>
      </w:r>
      <w:r>
        <w:rPr>
          <w:rFonts w:hint="eastAsia" w:ascii="仿宋_GB2312"/>
          <w:color w:val="000000"/>
          <w:sz w:val="32"/>
          <w:szCs w:val="32"/>
          <w:highlight w:val="none"/>
          <w:u w:val="single"/>
          <w:lang w:val="en-US" w:eastAsia="zh-CN"/>
        </w:rPr>
        <w:t>3.93</w:t>
      </w:r>
      <w:r>
        <w:rPr>
          <w:rFonts w:hint="eastAsia" w:ascii="仿宋_GB2312" w:eastAsia="仿宋_GB2312"/>
          <w:color w:val="000000"/>
          <w:sz w:val="32"/>
          <w:szCs w:val="32"/>
          <w:highlight w:val="none"/>
          <w:u w:val="single"/>
        </w:rPr>
        <w:t xml:space="preserve">   </w:t>
      </w:r>
      <w:r>
        <w:rPr>
          <w:rFonts w:hint="eastAsia" w:ascii="仿宋_GB2312" w:eastAsia="仿宋_GB2312"/>
          <w:color w:val="000000"/>
          <w:sz w:val="32"/>
          <w:szCs w:val="32"/>
          <w:highlight w:val="none"/>
        </w:rPr>
        <w:t>万元，</w:t>
      </w:r>
      <w:r>
        <w:rPr>
          <w:rFonts w:hint="eastAsia" w:ascii="仿宋_GB2312" w:eastAsia="仿宋_GB2312"/>
          <w:color w:val="000000"/>
          <w:sz w:val="32"/>
          <w:szCs w:val="32"/>
          <w:highlight w:val="none"/>
          <w:lang w:eastAsia="zh-CN"/>
        </w:rPr>
        <w:t>完成年初</w:t>
      </w:r>
      <w:r>
        <w:rPr>
          <w:rFonts w:hint="eastAsia" w:ascii="仿宋_GB2312" w:eastAsia="仿宋_GB2312"/>
          <w:color w:val="000000"/>
          <w:sz w:val="32"/>
          <w:szCs w:val="32"/>
          <w:highlight w:val="none"/>
        </w:rPr>
        <w:t>预算的</w:t>
      </w:r>
      <w:r>
        <w:rPr>
          <w:rFonts w:hint="eastAsia" w:ascii="仿宋_GB2312" w:eastAsia="仿宋_GB2312"/>
          <w:color w:val="000000"/>
          <w:sz w:val="32"/>
          <w:szCs w:val="32"/>
          <w:highlight w:val="none"/>
          <w:u w:val="single"/>
        </w:rPr>
        <w:t xml:space="preserve"> </w:t>
      </w:r>
      <w:r>
        <w:rPr>
          <w:rFonts w:hint="eastAsia" w:ascii="仿宋_GB2312"/>
          <w:color w:val="000000"/>
          <w:sz w:val="32"/>
          <w:szCs w:val="32"/>
          <w:highlight w:val="none"/>
          <w:u w:val="single"/>
          <w:lang w:val="en-US" w:eastAsia="zh-CN"/>
        </w:rPr>
        <w:t>21</w:t>
      </w:r>
      <w:r>
        <w:rPr>
          <w:rFonts w:hint="eastAsia" w:ascii="仿宋_GB2312" w:eastAsia="仿宋_GB2312"/>
          <w:color w:val="000000"/>
          <w:sz w:val="32"/>
          <w:szCs w:val="32"/>
          <w:highlight w:val="none"/>
          <w:u w:val="single"/>
        </w:rPr>
        <w:t xml:space="preserve">   </w:t>
      </w:r>
      <w:r>
        <w:rPr>
          <w:rFonts w:hint="eastAsia" w:ascii="仿宋_GB2312" w:eastAsia="仿宋_GB2312"/>
          <w:color w:val="000000"/>
          <w:sz w:val="32"/>
          <w:szCs w:val="32"/>
          <w:highlight w:val="none"/>
        </w:rPr>
        <w:t>%，比</w:t>
      </w:r>
      <w:r>
        <w:rPr>
          <w:rFonts w:hint="eastAsia" w:ascii="仿宋_GB2312" w:eastAsia="仿宋_GB2312"/>
          <w:color w:val="000000"/>
          <w:sz w:val="32"/>
          <w:szCs w:val="32"/>
          <w:highlight w:val="none"/>
          <w:lang w:eastAsia="zh-CN"/>
        </w:rPr>
        <w:t>年初</w:t>
      </w:r>
      <w:r>
        <w:rPr>
          <w:rFonts w:hint="eastAsia" w:ascii="仿宋_GB2312" w:eastAsia="仿宋_GB2312"/>
          <w:color w:val="000000"/>
          <w:sz w:val="32"/>
          <w:szCs w:val="32"/>
          <w:highlight w:val="none"/>
        </w:rPr>
        <w:t>预算</w:t>
      </w:r>
      <w:r>
        <w:rPr>
          <w:rFonts w:hint="eastAsia" w:ascii="仿宋_GB2312"/>
          <w:color w:val="000000"/>
          <w:sz w:val="32"/>
          <w:szCs w:val="32"/>
          <w:highlight w:val="none"/>
          <w:lang w:val="en-US" w:eastAsia="zh-CN"/>
        </w:rPr>
        <w:t>减少</w:t>
      </w:r>
      <w:r>
        <w:rPr>
          <w:rFonts w:hint="eastAsia" w:ascii="仿宋_GB2312" w:eastAsia="仿宋_GB2312"/>
          <w:color w:val="000000"/>
          <w:sz w:val="32"/>
          <w:szCs w:val="32"/>
          <w:highlight w:val="none"/>
          <w:u w:val="single"/>
        </w:rPr>
        <w:t xml:space="preserve">  </w:t>
      </w:r>
      <w:r>
        <w:rPr>
          <w:rFonts w:hint="eastAsia" w:ascii="仿宋_GB2312"/>
          <w:color w:val="000000"/>
          <w:sz w:val="32"/>
          <w:szCs w:val="32"/>
          <w:highlight w:val="none"/>
          <w:u w:val="single"/>
          <w:lang w:val="en-US" w:eastAsia="zh-CN"/>
        </w:rPr>
        <w:t>14.97</w:t>
      </w:r>
      <w:r>
        <w:rPr>
          <w:rFonts w:hint="eastAsia" w:ascii="仿宋_GB2312" w:eastAsia="仿宋_GB2312"/>
          <w:color w:val="000000"/>
          <w:sz w:val="32"/>
          <w:szCs w:val="32"/>
          <w:highlight w:val="none"/>
          <w:u w:val="single"/>
        </w:rPr>
        <w:t xml:space="preserve">  </w:t>
      </w:r>
      <w:r>
        <w:rPr>
          <w:rFonts w:hint="eastAsia" w:ascii="仿宋_GB2312" w:eastAsia="仿宋_GB2312"/>
          <w:color w:val="000000"/>
          <w:sz w:val="32"/>
          <w:szCs w:val="32"/>
          <w:highlight w:val="none"/>
        </w:rPr>
        <w:t>万元，主要原因是</w:t>
      </w:r>
      <w:r>
        <w:rPr>
          <w:rFonts w:hint="eastAsia" w:ascii="仿宋_GB2312"/>
          <w:color w:val="000000"/>
          <w:sz w:val="32"/>
          <w:szCs w:val="32"/>
          <w:highlight w:val="none"/>
          <w:lang w:val="en-US" w:eastAsia="zh-CN"/>
        </w:rPr>
        <w:t>认真落实八项规定精神和厉行节约的要求，进一步从严控制“三公”经费支出，其次是当年招待费末及时入帐</w:t>
      </w:r>
      <w:r>
        <w:rPr>
          <w:rFonts w:hint="eastAsia" w:ascii="仿宋_GB2312" w:eastAsia="仿宋_GB2312"/>
          <w:color w:val="000000"/>
          <w:sz w:val="32"/>
          <w:szCs w:val="32"/>
          <w:highlight w:val="none"/>
        </w:rPr>
        <w:t>。</w:t>
      </w:r>
      <w:r>
        <w:rPr>
          <w:rFonts w:hint="eastAsia" w:ascii="仿宋_GB2312" w:eastAsia="仿宋_GB2312"/>
          <w:color w:val="000000"/>
          <w:sz w:val="32"/>
          <w:szCs w:val="32"/>
          <w:highlight w:val="none"/>
          <w:lang w:val="en-US" w:eastAsia="zh-CN"/>
        </w:rPr>
        <w:t>其中：</w:t>
      </w:r>
    </w:p>
    <w:p w14:paraId="2F197557">
      <w:pPr>
        <w:pageBreakBefore w:val="0"/>
        <w:widowControl w:val="0"/>
        <w:kinsoku/>
        <w:wordWrap/>
        <w:overflowPunct/>
        <w:topLinePunct w:val="0"/>
        <w:bidi w:val="0"/>
        <w:adjustRightInd w:val="0"/>
        <w:snapToGrid w:val="0"/>
        <w:spacing w:line="360" w:lineRule="auto"/>
        <w:ind w:firstLine="640" w:firstLineChars="200"/>
        <w:textAlignment w:val="auto"/>
        <w:rPr>
          <w:rFonts w:hint="eastAsia" w:ascii="仿宋_GB2312" w:eastAsia="仿宋_GB2312"/>
          <w:color w:val="000000"/>
          <w:sz w:val="32"/>
          <w:szCs w:val="32"/>
          <w:highlight w:val="none"/>
          <w:u w:val="none"/>
          <w:lang w:val="en-US" w:eastAsia="zh-CN"/>
        </w:rPr>
      </w:pPr>
      <w:r>
        <w:rPr>
          <w:rFonts w:hint="eastAsia" w:ascii="仿宋_GB2312" w:eastAsia="仿宋_GB2312"/>
          <w:color w:val="000000"/>
          <w:sz w:val="32"/>
          <w:szCs w:val="32"/>
          <w:highlight w:val="none"/>
          <w:lang w:val="en-US" w:eastAsia="zh-CN"/>
        </w:rPr>
        <w:t>外宾接待支出</w:t>
      </w:r>
      <w:r>
        <w:rPr>
          <w:rFonts w:hint="eastAsia" w:ascii="仿宋_GB2312" w:eastAsia="仿宋_GB2312"/>
          <w:color w:val="000000"/>
          <w:sz w:val="32"/>
          <w:szCs w:val="32"/>
          <w:highlight w:val="none"/>
          <w:u w:val="single"/>
          <w:lang w:val="en-US" w:eastAsia="zh-CN"/>
        </w:rPr>
        <w:t xml:space="preserve">  </w:t>
      </w:r>
      <w:r>
        <w:rPr>
          <w:rFonts w:hint="eastAsia" w:ascii="仿宋_GB2312"/>
          <w:color w:val="000000"/>
          <w:sz w:val="32"/>
          <w:szCs w:val="32"/>
          <w:highlight w:val="none"/>
          <w:u w:val="single"/>
          <w:lang w:val="en-US" w:eastAsia="zh-CN"/>
        </w:rPr>
        <w:t>0</w:t>
      </w:r>
      <w:r>
        <w:rPr>
          <w:rFonts w:hint="eastAsia" w:ascii="仿宋_GB2312" w:eastAsia="仿宋_GB2312"/>
          <w:color w:val="000000"/>
          <w:sz w:val="32"/>
          <w:szCs w:val="32"/>
          <w:highlight w:val="none"/>
          <w:u w:val="single"/>
          <w:lang w:val="en-US" w:eastAsia="zh-CN"/>
        </w:rPr>
        <w:t xml:space="preserve">  </w:t>
      </w:r>
      <w:r>
        <w:rPr>
          <w:rFonts w:hint="eastAsia" w:ascii="仿宋_GB2312" w:eastAsia="仿宋_GB2312"/>
          <w:color w:val="000000"/>
          <w:sz w:val="32"/>
          <w:szCs w:val="32"/>
          <w:highlight w:val="none"/>
          <w:u w:val="none"/>
          <w:lang w:val="en-US" w:eastAsia="zh-CN"/>
        </w:rPr>
        <w:t>万元，</w:t>
      </w:r>
      <w:r>
        <w:rPr>
          <w:rFonts w:hint="eastAsia" w:ascii="仿宋_GB2312"/>
          <w:color w:val="000000"/>
          <w:sz w:val="32"/>
          <w:szCs w:val="32"/>
          <w:highlight w:val="none"/>
          <w:u w:val="none"/>
          <w:lang w:val="en-US" w:eastAsia="zh-CN"/>
        </w:rPr>
        <w:t>2022年</w:t>
      </w:r>
      <w:r>
        <w:rPr>
          <w:rFonts w:hint="eastAsia" w:ascii="仿宋_GB2312" w:eastAsia="仿宋_GB2312"/>
          <w:color w:val="000000"/>
          <w:sz w:val="32"/>
          <w:szCs w:val="32"/>
          <w:highlight w:val="none"/>
          <w:u w:val="none"/>
          <w:lang w:val="en-US" w:eastAsia="zh-CN"/>
        </w:rPr>
        <w:t>共接待来访团组</w:t>
      </w:r>
      <w:r>
        <w:rPr>
          <w:rFonts w:hint="eastAsia" w:ascii="仿宋_GB2312" w:eastAsia="仿宋_GB2312"/>
          <w:color w:val="000000"/>
          <w:sz w:val="32"/>
          <w:szCs w:val="32"/>
          <w:highlight w:val="none"/>
          <w:u w:val="single"/>
          <w:lang w:val="en-US" w:eastAsia="zh-CN"/>
        </w:rPr>
        <w:t xml:space="preserve">    </w:t>
      </w:r>
      <w:r>
        <w:rPr>
          <w:rFonts w:hint="eastAsia" w:ascii="仿宋_GB2312" w:eastAsia="仿宋_GB2312"/>
          <w:color w:val="000000"/>
          <w:sz w:val="32"/>
          <w:szCs w:val="32"/>
          <w:highlight w:val="none"/>
          <w:u w:val="none"/>
          <w:lang w:val="en-US" w:eastAsia="zh-CN"/>
        </w:rPr>
        <w:t>个，</w:t>
      </w:r>
      <w:r>
        <w:rPr>
          <w:rFonts w:hint="eastAsia" w:ascii="仿宋_GB2312" w:eastAsia="仿宋_GB2312"/>
          <w:color w:val="000000"/>
          <w:sz w:val="32"/>
          <w:szCs w:val="32"/>
          <w:highlight w:val="none"/>
          <w:u w:val="single"/>
          <w:lang w:val="en-US" w:eastAsia="zh-CN"/>
        </w:rPr>
        <w:t xml:space="preserve">   </w:t>
      </w:r>
      <w:r>
        <w:rPr>
          <w:rFonts w:hint="eastAsia" w:ascii="仿宋_GB2312"/>
          <w:color w:val="000000"/>
          <w:sz w:val="32"/>
          <w:szCs w:val="32"/>
          <w:highlight w:val="none"/>
          <w:u w:val="single"/>
          <w:lang w:val="en-US" w:eastAsia="zh-CN"/>
        </w:rPr>
        <w:t>0</w:t>
      </w:r>
      <w:r>
        <w:rPr>
          <w:rFonts w:hint="eastAsia" w:ascii="仿宋_GB2312" w:eastAsia="仿宋_GB2312"/>
          <w:color w:val="000000"/>
          <w:sz w:val="32"/>
          <w:szCs w:val="32"/>
          <w:highlight w:val="none"/>
          <w:u w:val="single"/>
          <w:lang w:val="en-US" w:eastAsia="zh-CN"/>
        </w:rPr>
        <w:t xml:space="preserve">  </w:t>
      </w:r>
      <w:r>
        <w:rPr>
          <w:rFonts w:hint="eastAsia" w:ascii="仿宋_GB2312" w:eastAsia="仿宋_GB2312"/>
          <w:color w:val="000000"/>
          <w:sz w:val="32"/>
          <w:szCs w:val="32"/>
          <w:highlight w:val="none"/>
          <w:u w:val="none"/>
          <w:lang w:val="en-US" w:eastAsia="zh-CN"/>
        </w:rPr>
        <w:t>人次（不包括陪同人员）。</w:t>
      </w:r>
    </w:p>
    <w:p w14:paraId="6AADB07E">
      <w:pPr>
        <w:pageBreakBefore w:val="0"/>
        <w:widowControl w:val="0"/>
        <w:kinsoku/>
        <w:wordWrap/>
        <w:overflowPunct/>
        <w:topLinePunct w:val="0"/>
        <w:bidi w:val="0"/>
        <w:adjustRightInd w:val="0"/>
        <w:snapToGrid w:val="0"/>
        <w:spacing w:line="360" w:lineRule="auto"/>
        <w:ind w:firstLine="640" w:firstLineChars="200"/>
        <w:textAlignment w:val="auto"/>
        <w:rPr>
          <w:rFonts w:hint="default" w:ascii="仿宋_GB2312" w:eastAsia="仿宋_GB2312"/>
          <w:b/>
          <w:bCs/>
          <w:color w:val="000000"/>
          <w:sz w:val="32"/>
          <w:szCs w:val="32"/>
          <w:highlight w:val="none"/>
          <w:lang w:val="en-US" w:eastAsia="zh-CN"/>
        </w:rPr>
      </w:pPr>
      <w:r>
        <w:rPr>
          <w:rFonts w:hint="eastAsia" w:ascii="仿宋_GB2312" w:eastAsia="仿宋_GB2312"/>
          <w:color w:val="000000"/>
          <w:sz w:val="32"/>
          <w:szCs w:val="32"/>
          <w:highlight w:val="none"/>
          <w:u w:val="none"/>
          <w:lang w:val="en-US" w:eastAsia="zh-CN"/>
        </w:rPr>
        <w:t>国内公务接待支出</w:t>
      </w:r>
      <w:r>
        <w:rPr>
          <w:rFonts w:hint="eastAsia" w:ascii="仿宋_GB2312" w:eastAsia="仿宋_GB2312"/>
          <w:color w:val="000000"/>
          <w:sz w:val="32"/>
          <w:szCs w:val="32"/>
          <w:highlight w:val="none"/>
          <w:u w:val="single"/>
          <w:lang w:val="en-US" w:eastAsia="zh-CN"/>
        </w:rPr>
        <w:t xml:space="preserve">  </w:t>
      </w:r>
      <w:r>
        <w:rPr>
          <w:rFonts w:hint="eastAsia" w:ascii="仿宋_GB2312"/>
          <w:color w:val="000000"/>
          <w:sz w:val="32"/>
          <w:szCs w:val="32"/>
          <w:highlight w:val="none"/>
          <w:u w:val="single"/>
          <w:lang w:val="en-US" w:eastAsia="zh-CN"/>
        </w:rPr>
        <w:t>3.93</w:t>
      </w:r>
      <w:r>
        <w:rPr>
          <w:rFonts w:hint="eastAsia" w:ascii="仿宋_GB2312" w:eastAsia="仿宋_GB2312"/>
          <w:color w:val="000000"/>
          <w:sz w:val="32"/>
          <w:szCs w:val="32"/>
          <w:highlight w:val="none"/>
          <w:u w:val="single"/>
          <w:lang w:val="en-US" w:eastAsia="zh-CN"/>
        </w:rPr>
        <w:t xml:space="preserve">  </w:t>
      </w:r>
      <w:r>
        <w:rPr>
          <w:rFonts w:hint="eastAsia" w:ascii="仿宋_GB2312" w:eastAsia="仿宋_GB2312"/>
          <w:color w:val="000000"/>
          <w:sz w:val="32"/>
          <w:szCs w:val="32"/>
          <w:highlight w:val="none"/>
          <w:u w:val="none"/>
          <w:lang w:val="en-US" w:eastAsia="zh-CN"/>
        </w:rPr>
        <w:t>万元，接待对象主要是</w:t>
      </w:r>
      <w:r>
        <w:rPr>
          <w:rFonts w:hint="eastAsia" w:ascii="仿宋_GB2312"/>
          <w:color w:val="000000"/>
          <w:sz w:val="32"/>
          <w:szCs w:val="32"/>
          <w:highlight w:val="none"/>
          <w:u w:val="none"/>
          <w:lang w:val="en-US" w:eastAsia="zh-CN"/>
        </w:rPr>
        <w:t>各级领导及相关职能部门业务人员。</w:t>
      </w:r>
      <w:r>
        <w:rPr>
          <w:rFonts w:hint="eastAsia" w:ascii="仿宋_GB2312" w:eastAsia="仿宋_GB2312"/>
          <w:color w:val="000000"/>
          <w:sz w:val="32"/>
          <w:szCs w:val="32"/>
          <w:highlight w:val="none"/>
          <w:u w:val="none"/>
          <w:lang w:val="en-US" w:eastAsia="zh-CN"/>
        </w:rPr>
        <w:t>主要是开展</w:t>
      </w:r>
      <w:r>
        <w:rPr>
          <w:rFonts w:hint="eastAsia" w:ascii="仿宋_GB2312"/>
          <w:color w:val="000000"/>
          <w:sz w:val="32"/>
          <w:szCs w:val="32"/>
          <w:highlight w:val="none"/>
          <w:u w:val="none"/>
          <w:lang w:val="en-US" w:eastAsia="zh-CN"/>
        </w:rPr>
        <w:t>工作指导、督办和检查</w:t>
      </w:r>
      <w:r>
        <w:rPr>
          <w:rFonts w:hint="eastAsia" w:ascii="仿宋_GB2312" w:eastAsia="仿宋_GB2312"/>
          <w:color w:val="000000"/>
          <w:sz w:val="32"/>
          <w:szCs w:val="32"/>
          <w:highlight w:val="none"/>
          <w:u w:val="none"/>
          <w:lang w:val="en-US" w:eastAsia="zh-CN"/>
        </w:rPr>
        <w:t>。</w:t>
      </w:r>
      <w:r>
        <w:rPr>
          <w:rFonts w:hint="eastAsia" w:ascii="仿宋_GB2312"/>
          <w:color w:val="000000"/>
          <w:sz w:val="32"/>
          <w:szCs w:val="32"/>
          <w:highlight w:val="none"/>
          <w:u w:val="none"/>
          <w:lang w:val="en-US" w:eastAsia="zh-CN"/>
        </w:rPr>
        <w:t>2022年</w:t>
      </w:r>
      <w:r>
        <w:rPr>
          <w:rFonts w:hint="eastAsia" w:ascii="仿宋_GB2312" w:eastAsia="仿宋_GB2312"/>
          <w:color w:val="000000"/>
          <w:sz w:val="32"/>
          <w:szCs w:val="32"/>
          <w:highlight w:val="none"/>
          <w:u w:val="none"/>
          <w:lang w:val="en-US" w:eastAsia="zh-CN"/>
        </w:rPr>
        <w:t>共接待国内来访团组</w:t>
      </w:r>
      <w:r>
        <w:rPr>
          <w:rFonts w:hint="eastAsia" w:ascii="仿宋_GB2312" w:eastAsia="仿宋_GB2312"/>
          <w:color w:val="000000"/>
          <w:sz w:val="32"/>
          <w:szCs w:val="32"/>
          <w:highlight w:val="none"/>
          <w:u w:val="single"/>
          <w:lang w:val="en-US" w:eastAsia="zh-CN"/>
        </w:rPr>
        <w:t xml:space="preserve">  </w:t>
      </w:r>
      <w:r>
        <w:rPr>
          <w:rFonts w:hint="eastAsia" w:ascii="仿宋_GB2312"/>
          <w:color w:val="000000"/>
          <w:sz w:val="32"/>
          <w:szCs w:val="32"/>
          <w:highlight w:val="none"/>
          <w:u w:val="single"/>
          <w:lang w:val="en-US" w:eastAsia="zh-CN"/>
        </w:rPr>
        <w:t>61</w:t>
      </w:r>
      <w:r>
        <w:rPr>
          <w:rFonts w:hint="eastAsia" w:ascii="仿宋_GB2312" w:eastAsia="仿宋_GB2312"/>
          <w:color w:val="000000"/>
          <w:sz w:val="32"/>
          <w:szCs w:val="32"/>
          <w:highlight w:val="none"/>
          <w:u w:val="single"/>
          <w:lang w:val="en-US" w:eastAsia="zh-CN"/>
        </w:rPr>
        <w:t xml:space="preserve">  </w:t>
      </w:r>
      <w:r>
        <w:rPr>
          <w:rFonts w:hint="eastAsia" w:ascii="仿宋_GB2312" w:eastAsia="仿宋_GB2312"/>
          <w:color w:val="000000"/>
          <w:sz w:val="32"/>
          <w:szCs w:val="32"/>
          <w:highlight w:val="none"/>
          <w:u w:val="none"/>
          <w:lang w:val="en-US" w:eastAsia="zh-CN"/>
        </w:rPr>
        <w:t>个，</w:t>
      </w:r>
      <w:r>
        <w:rPr>
          <w:rFonts w:hint="eastAsia" w:ascii="仿宋_GB2312" w:eastAsia="仿宋_GB2312"/>
          <w:color w:val="000000"/>
          <w:sz w:val="32"/>
          <w:szCs w:val="32"/>
          <w:highlight w:val="none"/>
          <w:u w:val="single"/>
          <w:lang w:val="en-US" w:eastAsia="zh-CN"/>
        </w:rPr>
        <w:t xml:space="preserve">  </w:t>
      </w:r>
      <w:r>
        <w:rPr>
          <w:rFonts w:hint="eastAsia" w:ascii="仿宋_GB2312"/>
          <w:color w:val="000000"/>
          <w:sz w:val="32"/>
          <w:szCs w:val="32"/>
          <w:highlight w:val="none"/>
          <w:u w:val="single"/>
          <w:lang w:val="en-US" w:eastAsia="zh-CN"/>
        </w:rPr>
        <w:t>492</w:t>
      </w:r>
      <w:r>
        <w:rPr>
          <w:rFonts w:hint="eastAsia" w:ascii="仿宋_GB2312" w:eastAsia="仿宋_GB2312"/>
          <w:color w:val="000000"/>
          <w:sz w:val="32"/>
          <w:szCs w:val="32"/>
          <w:highlight w:val="none"/>
          <w:u w:val="single"/>
          <w:lang w:val="en-US" w:eastAsia="zh-CN"/>
        </w:rPr>
        <w:t xml:space="preserve">  </w:t>
      </w:r>
      <w:r>
        <w:rPr>
          <w:rFonts w:hint="eastAsia" w:ascii="仿宋_GB2312" w:eastAsia="仿宋_GB2312"/>
          <w:color w:val="000000"/>
          <w:sz w:val="32"/>
          <w:szCs w:val="32"/>
          <w:highlight w:val="none"/>
          <w:u w:val="none"/>
          <w:lang w:val="en-US" w:eastAsia="zh-CN"/>
        </w:rPr>
        <w:t>人次（不包括陪同人员）。</w:t>
      </w:r>
    </w:p>
    <w:p w14:paraId="43852595">
      <w:pPr>
        <w:numPr>
          <w:ilvl w:val="0"/>
          <w:numId w:val="0"/>
        </w:numPr>
        <w:bidi w:val="0"/>
        <w:ind w:firstLine="640" w:firstLineChars="200"/>
        <w:rPr>
          <w:rFonts w:hint="eastAsia" w:ascii="黑体" w:hAnsi="黑体" w:eastAsia="黑体" w:cs="黑体"/>
          <w:sz w:val="32"/>
          <w:szCs w:val="32"/>
          <w:lang w:val="en-US" w:eastAsia="zh-CN"/>
        </w:rPr>
      </w:pPr>
      <w:r>
        <w:rPr>
          <w:rFonts w:hint="eastAsia" w:ascii="黑体" w:hAnsi="黑体" w:eastAsia="黑体" w:cs="黑体"/>
          <w:lang w:val="en-US" w:eastAsia="zh-CN"/>
        </w:rPr>
        <w:t xml:space="preserve">八、政府性基金预算财政拨款收入支出决算情况说明 </w:t>
      </w:r>
    </w:p>
    <w:p w14:paraId="29933F3C">
      <w:pPr>
        <w:numPr>
          <w:ilvl w:val="0"/>
          <w:numId w:val="0"/>
        </w:numPr>
        <w:bidi w:val="0"/>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cs="仿宋_GB2312"/>
          <w:sz w:val="32"/>
          <w:szCs w:val="32"/>
          <w:lang w:val="en-US" w:eastAsia="zh-CN"/>
        </w:rPr>
        <w:t>2022年</w:t>
      </w:r>
      <w:r>
        <w:rPr>
          <w:rFonts w:hint="eastAsia" w:ascii="仿宋_GB2312" w:hAnsi="仿宋_GB2312" w:eastAsia="仿宋_GB2312" w:cs="仿宋_GB2312"/>
          <w:sz w:val="32"/>
          <w:szCs w:val="32"/>
          <w:lang w:val="en-US" w:eastAsia="zh-CN"/>
        </w:rPr>
        <w:t>度政府性基金预算财政拨款年初结转和结余</w:t>
      </w:r>
      <w:r>
        <w:rPr>
          <w:rFonts w:hint="eastAsia" w:ascii="仿宋_GB2312" w:hAnsi="仿宋_GB2312" w:eastAsia="仿宋_GB2312" w:cs="仿宋_GB2312"/>
          <w:sz w:val="32"/>
          <w:szCs w:val="32"/>
          <w:u w:val="single"/>
          <w:lang w:val="en-US" w:eastAsia="zh-CN"/>
        </w:rPr>
        <w:t xml:space="preserve">    </w:t>
      </w:r>
      <w:r>
        <w:rPr>
          <w:rFonts w:hint="eastAsia" w:ascii="仿宋_GB2312" w:hAnsi="仿宋_GB2312" w:eastAsia="仿宋_GB2312" w:cs="仿宋_GB2312"/>
          <w:sz w:val="32"/>
          <w:szCs w:val="32"/>
          <w:lang w:val="en-US" w:eastAsia="zh-CN"/>
        </w:rPr>
        <w:t>万元，本年收入</w:t>
      </w:r>
      <w:r>
        <w:rPr>
          <w:rFonts w:hint="eastAsia" w:ascii="仿宋_GB2312" w:hAnsi="仿宋_GB2312" w:eastAsia="仿宋_GB2312" w:cs="仿宋_GB2312"/>
          <w:sz w:val="32"/>
          <w:szCs w:val="32"/>
          <w:u w:val="single"/>
          <w:lang w:val="en-US" w:eastAsia="zh-CN"/>
        </w:rPr>
        <w:t xml:space="preserve">  </w:t>
      </w:r>
      <w:r>
        <w:rPr>
          <w:rFonts w:hint="eastAsia" w:ascii="仿宋_GB2312" w:hAnsi="仿宋_GB2312" w:cs="仿宋_GB2312"/>
          <w:sz w:val="32"/>
          <w:szCs w:val="32"/>
          <w:u w:val="single"/>
          <w:lang w:val="en-US" w:eastAsia="zh-CN"/>
        </w:rPr>
        <w:t>0</w:t>
      </w:r>
      <w:r>
        <w:rPr>
          <w:rFonts w:hint="eastAsia" w:ascii="仿宋_GB2312" w:hAnsi="仿宋_GB2312" w:eastAsia="仿宋_GB2312" w:cs="仿宋_GB2312"/>
          <w:sz w:val="32"/>
          <w:szCs w:val="32"/>
          <w:u w:val="single"/>
          <w:lang w:val="en-US" w:eastAsia="zh-CN"/>
        </w:rPr>
        <w:t xml:space="preserve">  </w:t>
      </w:r>
      <w:r>
        <w:rPr>
          <w:rFonts w:hint="eastAsia" w:ascii="仿宋_GB2312" w:hAnsi="仿宋_GB2312" w:eastAsia="仿宋_GB2312" w:cs="仿宋_GB2312"/>
          <w:sz w:val="32"/>
          <w:szCs w:val="32"/>
          <w:lang w:val="en-US" w:eastAsia="zh-CN"/>
        </w:rPr>
        <w:t>万元，本年支出</w:t>
      </w:r>
      <w:r>
        <w:rPr>
          <w:rFonts w:hint="eastAsia" w:ascii="仿宋_GB2312" w:hAnsi="仿宋_GB2312" w:eastAsia="仿宋_GB2312" w:cs="仿宋_GB2312"/>
          <w:sz w:val="32"/>
          <w:szCs w:val="32"/>
          <w:u w:val="single"/>
          <w:lang w:val="en-US" w:eastAsia="zh-CN"/>
        </w:rPr>
        <w:t xml:space="preserve">  </w:t>
      </w:r>
      <w:r>
        <w:rPr>
          <w:rFonts w:hint="eastAsia" w:ascii="仿宋_GB2312" w:hAnsi="仿宋_GB2312" w:cs="仿宋_GB2312"/>
          <w:sz w:val="32"/>
          <w:szCs w:val="32"/>
          <w:u w:val="single"/>
          <w:lang w:val="en-US" w:eastAsia="zh-CN"/>
        </w:rPr>
        <w:t>0</w:t>
      </w:r>
      <w:r>
        <w:rPr>
          <w:rFonts w:hint="eastAsia" w:ascii="仿宋_GB2312" w:hAnsi="仿宋_GB2312" w:eastAsia="仿宋_GB2312" w:cs="仿宋_GB2312"/>
          <w:sz w:val="32"/>
          <w:szCs w:val="32"/>
          <w:u w:val="single"/>
          <w:lang w:val="en-US" w:eastAsia="zh-CN"/>
        </w:rPr>
        <w:t xml:space="preserve">  </w:t>
      </w:r>
      <w:r>
        <w:rPr>
          <w:rFonts w:hint="eastAsia" w:ascii="仿宋_GB2312" w:hAnsi="仿宋_GB2312" w:eastAsia="仿宋_GB2312" w:cs="仿宋_GB2312"/>
          <w:sz w:val="32"/>
          <w:szCs w:val="32"/>
          <w:lang w:val="en-US" w:eastAsia="zh-CN"/>
        </w:rPr>
        <w:t>万元，年末结转和结余</w:t>
      </w:r>
      <w:r>
        <w:rPr>
          <w:rFonts w:hint="eastAsia" w:ascii="仿宋_GB2312" w:hAnsi="仿宋_GB2312" w:eastAsia="仿宋_GB2312" w:cs="仿宋_GB2312"/>
          <w:sz w:val="32"/>
          <w:szCs w:val="32"/>
          <w:u w:val="single"/>
          <w:lang w:val="en-US" w:eastAsia="zh-CN"/>
        </w:rPr>
        <w:t xml:space="preserve">  </w:t>
      </w:r>
      <w:r>
        <w:rPr>
          <w:rFonts w:hint="eastAsia" w:ascii="仿宋_GB2312" w:hAnsi="仿宋_GB2312" w:cs="仿宋_GB2312"/>
          <w:sz w:val="32"/>
          <w:szCs w:val="32"/>
          <w:u w:val="single"/>
          <w:lang w:val="en-US" w:eastAsia="zh-CN"/>
        </w:rPr>
        <w:t>0</w:t>
      </w:r>
      <w:r>
        <w:rPr>
          <w:rFonts w:hint="eastAsia" w:ascii="仿宋_GB2312" w:hAnsi="仿宋_GB2312" w:eastAsia="仿宋_GB2312" w:cs="仿宋_GB2312"/>
          <w:sz w:val="32"/>
          <w:szCs w:val="32"/>
          <w:u w:val="single"/>
          <w:lang w:val="en-US" w:eastAsia="zh-CN"/>
        </w:rPr>
        <w:t xml:space="preserve">  </w:t>
      </w:r>
      <w:r>
        <w:rPr>
          <w:rFonts w:hint="eastAsia" w:ascii="仿宋_GB2312" w:hAnsi="仿宋_GB2312" w:eastAsia="仿宋_GB2312" w:cs="仿宋_GB2312"/>
          <w:sz w:val="32"/>
          <w:szCs w:val="32"/>
          <w:lang w:val="en-US" w:eastAsia="zh-CN"/>
        </w:rPr>
        <w:t>万元。</w:t>
      </w:r>
      <w:r>
        <w:rPr>
          <w:rFonts w:hint="eastAsia" w:ascii="仿宋_GB2312" w:hAnsi="仿宋_GB2312" w:cs="仿宋_GB2312"/>
          <w:sz w:val="32"/>
          <w:szCs w:val="32"/>
          <w:lang w:val="en-US" w:eastAsia="zh-CN"/>
        </w:rPr>
        <w:t>本单位无政府性基金预算拨款安排的收入支出</w:t>
      </w:r>
      <w:r>
        <w:rPr>
          <w:rFonts w:hint="eastAsia" w:ascii="仿宋_GB2312" w:hAnsi="仿宋_GB2312" w:eastAsia="仿宋_GB2312" w:cs="仿宋_GB2312"/>
          <w:sz w:val="32"/>
          <w:szCs w:val="32"/>
          <w:lang w:val="en-US" w:eastAsia="zh-CN"/>
        </w:rPr>
        <w:t>。</w:t>
      </w:r>
    </w:p>
    <w:p w14:paraId="71D6BCE7">
      <w:pPr>
        <w:numPr>
          <w:ilvl w:val="0"/>
          <w:numId w:val="0"/>
        </w:numPr>
        <w:bidi w:val="0"/>
        <w:ind w:leftChars="200"/>
        <w:rPr>
          <w:rFonts w:hint="eastAsia" w:ascii="黑体" w:hAnsi="黑体" w:eastAsia="黑体" w:cs="黑体"/>
          <w:lang w:val="en-US" w:eastAsia="zh-CN"/>
        </w:rPr>
      </w:pPr>
      <w:r>
        <w:rPr>
          <w:rFonts w:hint="eastAsia" w:ascii="黑体" w:hAnsi="黑体" w:eastAsia="黑体" w:cs="黑体"/>
          <w:lang w:val="en-US" w:eastAsia="zh-CN"/>
        </w:rPr>
        <w:t>九、国有资本经营预算财政拨款支出决算情况说明</w:t>
      </w:r>
    </w:p>
    <w:p w14:paraId="079ABECA">
      <w:pPr>
        <w:ind w:firstLine="640"/>
        <w:jc w:val="both"/>
        <w:rPr>
          <w:rFonts w:hint="eastAsia" w:ascii="仿宋_GB2312" w:hAnsi="仿宋_GB2312" w:cs="仿宋_GB2312"/>
          <w:b/>
          <w:bCs/>
          <w:sz w:val="32"/>
          <w:szCs w:val="32"/>
          <w:lang w:val="en-US" w:eastAsia="zh-CN"/>
        </w:rPr>
      </w:pPr>
      <w:r>
        <w:rPr>
          <w:rFonts w:hint="eastAsia" w:ascii="仿宋_GB2312" w:hAnsi="仿宋_GB2312" w:cs="仿宋_GB2312"/>
          <w:sz w:val="32"/>
          <w:szCs w:val="32"/>
          <w:lang w:val="en-US" w:eastAsia="zh-CN"/>
        </w:rPr>
        <w:t>2022年度国有资本经营预算财政拨款本年支出</w:t>
      </w:r>
      <w:r>
        <w:rPr>
          <w:rFonts w:hint="eastAsia" w:ascii="仿宋_GB2312" w:hAnsi="仿宋_GB2312" w:cs="仿宋_GB2312"/>
          <w:sz w:val="32"/>
          <w:szCs w:val="32"/>
          <w:u w:val="single"/>
          <w:lang w:val="en-US" w:eastAsia="zh-CN"/>
        </w:rPr>
        <w:t xml:space="preserve"> 0.13  </w:t>
      </w:r>
      <w:r>
        <w:rPr>
          <w:rFonts w:hint="eastAsia" w:ascii="仿宋_GB2312" w:hAnsi="仿宋_GB2312" w:cs="仿宋_GB2312"/>
          <w:sz w:val="32"/>
          <w:szCs w:val="32"/>
          <w:lang w:val="en-US" w:eastAsia="zh-CN"/>
        </w:rPr>
        <w:t>万元。具体支出情况为：</w:t>
      </w:r>
    </w:p>
    <w:p w14:paraId="0923A8C4">
      <w:pPr>
        <w:ind w:firstLine="640"/>
        <w:jc w:val="both"/>
        <w:rPr>
          <w:rFonts w:hint="eastAsia" w:ascii="仿宋_GB2312" w:hAnsi="仿宋_GB2312" w:cs="仿宋_GB2312"/>
          <w:sz w:val="32"/>
          <w:szCs w:val="32"/>
          <w:lang w:val="en-US" w:eastAsia="zh-CN"/>
        </w:rPr>
      </w:pPr>
      <w:r>
        <w:rPr>
          <w:rFonts w:hint="eastAsia" w:ascii="仿宋_GB2312" w:hAnsi="仿宋_GB2312" w:cs="仿宋_GB2312"/>
          <w:sz w:val="32"/>
          <w:szCs w:val="32"/>
          <w:lang w:val="en-US" w:eastAsia="zh-CN"/>
        </w:rPr>
        <w:t>国有资本经营预算支出(类)。支出决算为</w:t>
      </w:r>
      <w:r>
        <w:rPr>
          <w:rFonts w:hint="eastAsia" w:ascii="仿宋_GB2312" w:hAnsi="仿宋_GB2312" w:cs="仿宋_GB2312"/>
          <w:sz w:val="32"/>
          <w:szCs w:val="32"/>
          <w:u w:val="single"/>
          <w:lang w:val="en-US" w:eastAsia="zh-CN"/>
        </w:rPr>
        <w:t xml:space="preserve"> 0.13  </w:t>
      </w:r>
      <w:r>
        <w:rPr>
          <w:rFonts w:hint="eastAsia" w:ascii="仿宋_GB2312" w:hAnsi="仿宋_GB2312" w:cs="仿宋_GB2312"/>
          <w:sz w:val="32"/>
          <w:szCs w:val="32"/>
          <w:lang w:val="en-US" w:eastAsia="zh-CN"/>
        </w:rPr>
        <w:t>万元，主要用国有企业退休人员社会化管理补助等方面支出。</w:t>
      </w:r>
    </w:p>
    <w:p w14:paraId="54D2B005">
      <w:pPr>
        <w:ind w:firstLine="640"/>
        <w:jc w:val="both"/>
        <w:rPr>
          <w:rFonts w:hint="eastAsia" w:ascii="仿宋_GB2312" w:hAnsi="仿宋_GB2312" w:cs="仿宋_GB2312"/>
          <w:sz w:val="32"/>
          <w:szCs w:val="32"/>
          <w:lang w:val="en-US" w:eastAsia="zh-CN"/>
        </w:rPr>
      </w:pPr>
    </w:p>
    <w:p w14:paraId="16F541EE">
      <w:pPr>
        <w:numPr>
          <w:ilvl w:val="0"/>
          <w:numId w:val="0"/>
        </w:numPr>
        <w:bidi w:val="0"/>
        <w:ind w:leftChars="200"/>
        <w:rPr>
          <w:rFonts w:hint="eastAsia" w:ascii="黑体" w:hAnsi="黑体" w:eastAsia="黑体" w:cs="黑体"/>
          <w:lang w:val="en-US" w:eastAsia="zh-CN"/>
        </w:rPr>
      </w:pPr>
      <w:r>
        <w:rPr>
          <w:rFonts w:hint="eastAsia" w:ascii="黑体" w:hAnsi="黑体" w:eastAsia="黑体" w:cs="黑体"/>
          <w:lang w:val="en-US" w:eastAsia="zh-CN"/>
        </w:rPr>
        <w:t>十、机关运行经费支出说明</w:t>
      </w:r>
    </w:p>
    <w:p w14:paraId="7338060F">
      <w:pPr>
        <w:pStyle w:val="11"/>
        <w:rPr>
          <w:rFonts w:hint="eastAsia" w:ascii="仿宋" w:hAnsi="仿宋" w:eastAsia="仿宋" w:cs="仿宋"/>
          <w:sz w:val="32"/>
          <w:szCs w:val="32"/>
          <w:lang w:val="en-US" w:eastAsia="zh-CN"/>
        </w:rPr>
      </w:pPr>
      <w:r>
        <w:rPr>
          <w:rFonts w:hint="eastAsia" w:ascii="仿宋_GB2312" w:hAnsi="仿宋_GB2312" w:eastAsia="仿宋_GB2312" w:cs="仿宋_GB2312"/>
          <w:sz w:val="32"/>
          <w:szCs w:val="32"/>
          <w:lang w:val="en-US" w:eastAsia="zh-CN"/>
        </w:rPr>
        <w:t>赤壁市车埠镇人民政府2022</w:t>
      </w:r>
      <w:r>
        <w:rPr>
          <w:rFonts w:hint="eastAsia" w:ascii="仿宋_GB2312" w:hAnsi="仿宋_GB2312" w:eastAsia="仿宋_GB2312" w:cs="仿宋_GB2312"/>
          <w:sz w:val="32"/>
          <w:szCs w:val="32"/>
        </w:rPr>
        <w:t>年度机关运行经费支出</w:t>
      </w:r>
      <w:r>
        <w:rPr>
          <w:rFonts w:hint="eastAsia" w:ascii="仿宋_GB2312" w:hAnsi="仿宋_GB2312" w:eastAsia="仿宋_GB2312" w:cs="仿宋_GB2312"/>
          <w:sz w:val="32"/>
          <w:szCs w:val="32"/>
          <w:lang w:val="en-US" w:eastAsia="zh-CN"/>
        </w:rPr>
        <w:t>487.8</w:t>
      </w:r>
      <w:r>
        <w:rPr>
          <w:rFonts w:hint="eastAsia" w:ascii="仿宋_GB2312" w:hAnsi="仿宋_GB2312" w:eastAsia="仿宋_GB2312" w:cs="仿宋_GB2312"/>
          <w:sz w:val="32"/>
          <w:szCs w:val="32"/>
        </w:rPr>
        <w:t>万元，比年初预算数增加（减少）</w:t>
      </w:r>
      <w:r>
        <w:rPr>
          <w:rFonts w:hint="eastAsia" w:ascii="仿宋_GB2312" w:hAnsi="仿宋_GB2312" w:eastAsia="仿宋_GB2312" w:cs="仿宋_GB2312"/>
          <w:sz w:val="32"/>
          <w:szCs w:val="32"/>
          <w:lang w:val="en-US" w:eastAsia="zh-CN"/>
        </w:rPr>
        <w:t>475.4</w:t>
      </w:r>
      <w:r>
        <w:rPr>
          <w:rFonts w:hint="eastAsia" w:ascii="仿宋_GB2312" w:hAnsi="仿宋_GB2312" w:eastAsia="仿宋_GB2312" w:cs="仿宋_GB2312"/>
          <w:sz w:val="32"/>
          <w:szCs w:val="32"/>
        </w:rPr>
        <w:t>万元，增长</w:t>
      </w:r>
      <w:r>
        <w:rPr>
          <w:rFonts w:hint="eastAsia" w:ascii="仿宋_GB2312" w:hAnsi="仿宋_GB2312" w:eastAsia="仿宋_GB2312" w:cs="仿宋_GB2312"/>
          <w:sz w:val="32"/>
          <w:szCs w:val="32"/>
          <w:lang w:val="en-US" w:eastAsia="zh-CN"/>
        </w:rPr>
        <w:t>97</w:t>
      </w:r>
      <w:r>
        <w:rPr>
          <w:rFonts w:hint="eastAsia" w:ascii="仿宋_GB2312" w:hAnsi="仿宋_GB2312" w:eastAsia="仿宋_GB2312" w:cs="仿宋_GB2312"/>
          <w:sz w:val="32"/>
          <w:szCs w:val="32"/>
        </w:rPr>
        <w:t>%。主要原因是：</w:t>
      </w:r>
      <w:r>
        <w:rPr>
          <w:rFonts w:hint="eastAsia" w:ascii="仿宋_GB2312" w:hAnsi="仿宋_GB2312" w:eastAsia="仿宋_GB2312" w:cs="仿宋_GB2312"/>
          <w:sz w:val="32"/>
          <w:szCs w:val="32"/>
          <w:lang w:val="en-US" w:eastAsia="zh-CN"/>
        </w:rPr>
        <w:t>委托业务费增加。其中：办公费20.23万元，印刷费20.14万元，咨询费5.19万元，水费1.48万元，电费8.35万元，邮电费2.11万元，差旅费3.42万元，维修（护）费16.96万元，会议费1.46万元，培训费0.13万元，公务接待费3.93万元，劳务费66.04万元，委托业务费278.05万元，工会经费17.5万元，公务用车运行维护费1.41万元，其它交通费2.05万元，其它商品和服务支出39.37万元。</w:t>
      </w:r>
    </w:p>
    <w:p w14:paraId="35428B93">
      <w:pPr>
        <w:numPr>
          <w:ilvl w:val="0"/>
          <w:numId w:val="0"/>
        </w:numPr>
        <w:bidi w:val="0"/>
        <w:ind w:leftChars="200"/>
        <w:rPr>
          <w:rFonts w:hint="eastAsia" w:ascii="黑体" w:hAnsi="黑体" w:eastAsia="黑体" w:cs="黑体"/>
          <w:lang w:val="en-US" w:eastAsia="zh-CN"/>
        </w:rPr>
      </w:pPr>
      <w:r>
        <w:rPr>
          <w:rFonts w:hint="eastAsia" w:ascii="黑体" w:hAnsi="黑体" w:eastAsia="黑体" w:cs="黑体"/>
          <w:lang w:val="en-US" w:eastAsia="zh-CN"/>
        </w:rPr>
        <w:t>十一、政府采购支出说明</w:t>
      </w:r>
    </w:p>
    <w:p w14:paraId="1F35E649">
      <w:pPr>
        <w:pStyle w:val="11"/>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赤壁市车埠镇人民政府2022</w:t>
      </w:r>
      <w:r>
        <w:rPr>
          <w:rFonts w:hint="eastAsia" w:ascii="仿宋_GB2312" w:hAnsi="仿宋_GB2312" w:eastAsia="仿宋_GB2312" w:cs="仿宋_GB2312"/>
          <w:sz w:val="32"/>
          <w:szCs w:val="32"/>
        </w:rPr>
        <w:t>年度政府采购支出总额</w:t>
      </w:r>
      <w:r>
        <w:rPr>
          <w:rFonts w:hint="eastAsia" w:ascii="仿宋_GB2312" w:hAnsi="仿宋_GB2312" w:eastAsia="仿宋_GB2312" w:cs="仿宋_GB2312"/>
          <w:sz w:val="32"/>
          <w:szCs w:val="32"/>
          <w:lang w:val="en-US" w:eastAsia="zh-CN"/>
        </w:rPr>
        <w:t>415.6</w:t>
      </w:r>
      <w:r>
        <w:rPr>
          <w:rFonts w:hint="eastAsia" w:ascii="仿宋_GB2312" w:hAnsi="仿宋_GB2312" w:eastAsia="仿宋_GB2312" w:cs="仿宋_GB2312"/>
          <w:sz w:val="32"/>
          <w:szCs w:val="32"/>
        </w:rPr>
        <w:t xml:space="preserve"> 万元，其中：政府采购货物支出 </w:t>
      </w:r>
      <w:r>
        <w:rPr>
          <w:rFonts w:hint="eastAsia" w:ascii="仿宋_GB2312" w:hAnsi="仿宋_GB2312" w:eastAsia="仿宋_GB2312" w:cs="仿宋_GB2312"/>
          <w:sz w:val="32"/>
          <w:szCs w:val="32"/>
          <w:lang w:val="en-US" w:eastAsia="zh-CN"/>
        </w:rPr>
        <w:t>5.6</w:t>
      </w:r>
      <w:r>
        <w:rPr>
          <w:rFonts w:hint="eastAsia" w:ascii="仿宋_GB2312" w:hAnsi="仿宋_GB2312" w:eastAsia="仿宋_GB2312" w:cs="仿宋_GB2312"/>
          <w:sz w:val="32"/>
          <w:szCs w:val="32"/>
        </w:rPr>
        <w:t xml:space="preserve">万元、政府采购工程支出 </w:t>
      </w:r>
      <w:r>
        <w:rPr>
          <w:rFonts w:hint="eastAsia" w:ascii="仿宋_GB2312" w:hAnsi="仿宋_GB2312" w:eastAsia="仿宋_GB2312" w:cs="仿宋_GB2312"/>
          <w:sz w:val="32"/>
          <w:szCs w:val="32"/>
          <w:lang w:val="en-US" w:eastAsia="zh-CN"/>
        </w:rPr>
        <w:t>300</w:t>
      </w:r>
      <w:r>
        <w:rPr>
          <w:rFonts w:hint="eastAsia" w:ascii="仿宋_GB2312" w:hAnsi="仿宋_GB2312" w:eastAsia="仿宋_GB2312" w:cs="仿宋_GB2312"/>
          <w:sz w:val="32"/>
          <w:szCs w:val="32"/>
        </w:rPr>
        <w:t xml:space="preserve"> 万元、政府采购服务支出 </w:t>
      </w:r>
      <w:r>
        <w:rPr>
          <w:rFonts w:hint="eastAsia" w:ascii="仿宋_GB2312" w:hAnsi="仿宋_GB2312" w:eastAsia="仿宋_GB2312" w:cs="仿宋_GB2312"/>
          <w:sz w:val="32"/>
          <w:szCs w:val="32"/>
          <w:lang w:val="en-US" w:eastAsia="zh-CN"/>
        </w:rPr>
        <w:t>110</w:t>
      </w:r>
      <w:r>
        <w:rPr>
          <w:rFonts w:hint="eastAsia" w:ascii="仿宋_GB2312" w:hAnsi="仿宋_GB2312" w:eastAsia="仿宋_GB2312" w:cs="仿宋_GB2312"/>
          <w:sz w:val="32"/>
          <w:szCs w:val="32"/>
        </w:rPr>
        <w:t xml:space="preserve">万元。授予中小企业合同金额 </w:t>
      </w:r>
      <w:r>
        <w:rPr>
          <w:rFonts w:hint="eastAsia" w:ascii="仿宋_GB2312" w:hAnsi="仿宋_GB2312" w:eastAsia="仿宋_GB2312" w:cs="仿宋_GB2312"/>
          <w:sz w:val="32"/>
          <w:szCs w:val="32"/>
          <w:lang w:val="en-US" w:eastAsia="zh-CN"/>
        </w:rPr>
        <w:t>235</w:t>
      </w:r>
      <w:r>
        <w:rPr>
          <w:rFonts w:hint="eastAsia" w:ascii="仿宋_GB2312" w:hAnsi="仿宋_GB2312" w:eastAsia="仿宋_GB2312" w:cs="仿宋_GB2312"/>
          <w:sz w:val="32"/>
          <w:szCs w:val="32"/>
        </w:rPr>
        <w:t xml:space="preserve">万元，占政府采购支出总额的 </w:t>
      </w:r>
      <w:r>
        <w:rPr>
          <w:rFonts w:hint="eastAsia" w:ascii="仿宋_GB2312" w:hAnsi="仿宋_GB2312" w:eastAsia="仿宋_GB2312" w:cs="仿宋_GB2312"/>
          <w:sz w:val="32"/>
          <w:szCs w:val="32"/>
          <w:lang w:val="en-US" w:eastAsia="zh-CN"/>
        </w:rPr>
        <w:t>57</w:t>
      </w:r>
      <w:r>
        <w:rPr>
          <w:rFonts w:hint="eastAsia" w:ascii="仿宋_GB2312" w:hAnsi="仿宋_GB2312" w:eastAsia="仿宋_GB2312" w:cs="仿宋_GB2312"/>
          <w:sz w:val="32"/>
          <w:szCs w:val="32"/>
        </w:rPr>
        <w:t>%，其中：授予小微企业合同金额</w:t>
      </w:r>
      <w:r>
        <w:rPr>
          <w:rFonts w:hint="eastAsia" w:ascii="仿宋_GB2312" w:hAnsi="仿宋_GB2312" w:eastAsia="仿宋_GB2312" w:cs="仿宋_GB2312"/>
          <w:sz w:val="32"/>
          <w:szCs w:val="32"/>
          <w:lang w:val="en-US" w:eastAsia="zh-CN"/>
        </w:rPr>
        <w:t>125</w:t>
      </w:r>
      <w:r>
        <w:rPr>
          <w:rFonts w:hint="eastAsia" w:ascii="仿宋_GB2312" w:hAnsi="仿宋_GB2312" w:eastAsia="仿宋_GB2312" w:cs="仿宋_GB2312"/>
          <w:sz w:val="32"/>
          <w:szCs w:val="32"/>
        </w:rPr>
        <w:t xml:space="preserve"> 万元，占政府采购支出总额的 </w:t>
      </w:r>
      <w:r>
        <w:rPr>
          <w:rFonts w:hint="eastAsia" w:ascii="仿宋_GB2312" w:hAnsi="仿宋_GB2312" w:eastAsia="仿宋_GB2312" w:cs="仿宋_GB2312"/>
          <w:sz w:val="32"/>
          <w:szCs w:val="32"/>
          <w:lang w:val="en-US" w:eastAsia="zh-CN"/>
        </w:rPr>
        <w:t>53</w:t>
      </w:r>
      <w:r>
        <w:rPr>
          <w:rFonts w:hint="eastAsia" w:ascii="仿宋_GB2312" w:hAnsi="仿宋_GB2312" w:eastAsia="仿宋_GB2312" w:cs="仿宋_GB2312"/>
          <w:sz w:val="32"/>
          <w:szCs w:val="32"/>
        </w:rPr>
        <w:t>%。</w:t>
      </w:r>
    </w:p>
    <w:p w14:paraId="675C84FB">
      <w:pPr>
        <w:numPr>
          <w:ilvl w:val="0"/>
          <w:numId w:val="0"/>
        </w:numPr>
        <w:bidi w:val="0"/>
        <w:ind w:leftChars="200"/>
        <w:rPr>
          <w:rFonts w:hint="eastAsia" w:ascii="黑体" w:hAnsi="黑体" w:eastAsia="黑体" w:cs="黑体"/>
          <w:lang w:val="en-US" w:eastAsia="zh-CN"/>
        </w:rPr>
      </w:pPr>
      <w:r>
        <w:rPr>
          <w:rFonts w:hint="eastAsia" w:ascii="黑体" w:hAnsi="黑体" w:eastAsia="黑体" w:cs="黑体"/>
          <w:lang w:val="en-US" w:eastAsia="zh-CN"/>
        </w:rPr>
        <w:t>十二、国有资产占用情况说明</w:t>
      </w:r>
    </w:p>
    <w:p w14:paraId="7F9243BA">
      <w:pPr>
        <w:bidi w:val="0"/>
        <w:ind w:firstLine="640" w:firstLineChars="200"/>
        <w:rPr>
          <w:rFonts w:hint="eastAsia"/>
          <w:lang w:val="en-US" w:eastAsia="zh-CN"/>
        </w:rPr>
      </w:pPr>
      <w:r>
        <w:rPr>
          <w:rFonts w:hint="eastAsia" w:ascii="仿宋_GB2312" w:hAnsi="仿宋_GB2312" w:eastAsia="仿宋_GB2312" w:cs="仿宋_GB2312"/>
          <w:szCs w:val="32"/>
        </w:rPr>
        <w:t xml:space="preserve">截至 </w:t>
      </w:r>
      <w:r>
        <w:rPr>
          <w:rFonts w:hint="eastAsia" w:ascii="仿宋_GB2312" w:hAnsi="仿宋_GB2312" w:cs="仿宋_GB2312"/>
          <w:szCs w:val="32"/>
          <w:lang w:val="en-US" w:eastAsia="zh-CN"/>
        </w:rPr>
        <w:t>2022</w:t>
      </w:r>
      <w:r>
        <w:rPr>
          <w:rFonts w:hint="eastAsia" w:ascii="仿宋_GB2312" w:hAnsi="仿宋_GB2312" w:eastAsia="仿宋_GB2312" w:cs="仿宋_GB2312"/>
          <w:szCs w:val="32"/>
        </w:rPr>
        <w:t>年 12月31日，</w:t>
      </w:r>
      <w:r>
        <w:rPr>
          <w:rFonts w:hint="eastAsia" w:ascii="仿宋_GB2312" w:hAnsi="仿宋_GB2312" w:cs="仿宋_GB2312"/>
          <w:szCs w:val="32"/>
          <w:lang w:val="en-US" w:eastAsia="zh-CN"/>
        </w:rPr>
        <w:t>赤壁市车埠镇人民政府</w:t>
      </w:r>
      <w:r>
        <w:rPr>
          <w:rFonts w:hint="eastAsia" w:ascii="仿宋_GB2312" w:hAnsi="仿宋_GB2312" w:eastAsia="仿宋_GB2312" w:cs="仿宋_GB2312"/>
          <w:szCs w:val="32"/>
        </w:rPr>
        <w:t xml:space="preserve">共有车辆 </w:t>
      </w:r>
      <w:r>
        <w:rPr>
          <w:rFonts w:hint="eastAsia" w:ascii="仿宋_GB2312" w:hAnsi="仿宋_GB2312" w:cs="仿宋_GB2312"/>
          <w:szCs w:val="32"/>
          <w:lang w:val="en-US" w:eastAsia="zh-CN"/>
        </w:rPr>
        <w:t>一</w:t>
      </w:r>
      <w:r>
        <w:rPr>
          <w:rFonts w:hint="eastAsia" w:ascii="仿宋_GB2312" w:hAnsi="仿宋_GB2312" w:eastAsia="仿宋_GB2312" w:cs="仿宋_GB2312"/>
          <w:szCs w:val="32"/>
        </w:rPr>
        <w:t xml:space="preserve"> 辆，其中，副省级及以上领导干部用车 </w:t>
      </w:r>
      <w:r>
        <w:rPr>
          <w:rFonts w:hint="eastAsia" w:ascii="仿宋_GB2312" w:hAnsi="仿宋_GB2312" w:cs="仿宋_GB2312"/>
          <w:szCs w:val="32"/>
          <w:lang w:val="en-US" w:eastAsia="zh-CN"/>
        </w:rPr>
        <w:t>0</w:t>
      </w:r>
      <w:r>
        <w:rPr>
          <w:rFonts w:hint="eastAsia" w:ascii="仿宋_GB2312" w:hAnsi="仿宋_GB2312" w:eastAsia="仿宋_GB2312" w:cs="仿宋_GB2312"/>
          <w:szCs w:val="32"/>
        </w:rPr>
        <w:t xml:space="preserve"> 辆、主要领导干部用车</w:t>
      </w:r>
      <w:r>
        <w:rPr>
          <w:rFonts w:hint="eastAsia" w:ascii="仿宋_GB2312" w:hAnsi="仿宋_GB2312" w:cs="仿宋_GB2312"/>
          <w:szCs w:val="32"/>
          <w:lang w:val="en-US" w:eastAsia="zh-CN"/>
        </w:rPr>
        <w:t>0</w:t>
      </w:r>
      <w:r>
        <w:rPr>
          <w:rFonts w:hint="eastAsia" w:ascii="仿宋_GB2312" w:hAnsi="仿宋_GB2312" w:eastAsia="仿宋_GB2312" w:cs="仿宋_GB2312"/>
          <w:szCs w:val="32"/>
        </w:rPr>
        <w:t>辆、机要通信用车</w:t>
      </w:r>
      <w:r>
        <w:rPr>
          <w:rFonts w:hint="eastAsia" w:ascii="仿宋_GB2312" w:hAnsi="仿宋_GB2312" w:cs="仿宋_GB2312"/>
          <w:szCs w:val="32"/>
          <w:lang w:val="en-US" w:eastAsia="zh-CN"/>
        </w:rPr>
        <w:t>0</w:t>
      </w:r>
      <w:r>
        <w:rPr>
          <w:rFonts w:hint="eastAsia" w:ascii="仿宋_GB2312" w:hAnsi="仿宋_GB2312" w:eastAsia="仿宋_GB2312" w:cs="仿宋_GB2312"/>
          <w:szCs w:val="32"/>
        </w:rPr>
        <w:t xml:space="preserve"> 辆、应急保障用车 </w:t>
      </w:r>
      <w:r>
        <w:rPr>
          <w:rFonts w:hint="eastAsia" w:ascii="仿宋_GB2312" w:hAnsi="仿宋_GB2312" w:cs="仿宋_GB2312"/>
          <w:szCs w:val="32"/>
          <w:lang w:val="en-US" w:eastAsia="zh-CN"/>
        </w:rPr>
        <w:t>1</w:t>
      </w:r>
      <w:r>
        <w:rPr>
          <w:rFonts w:hint="eastAsia" w:ascii="仿宋_GB2312" w:hAnsi="仿宋_GB2312" w:eastAsia="仿宋_GB2312" w:cs="仿宋_GB2312"/>
          <w:szCs w:val="32"/>
        </w:rPr>
        <w:t xml:space="preserve">辆、执法执勤用车 </w:t>
      </w:r>
      <w:r>
        <w:rPr>
          <w:rFonts w:hint="eastAsia" w:ascii="仿宋_GB2312" w:hAnsi="仿宋_GB2312" w:cs="仿宋_GB2312"/>
          <w:szCs w:val="32"/>
          <w:lang w:val="en-US" w:eastAsia="zh-CN"/>
        </w:rPr>
        <w:t>0</w:t>
      </w:r>
      <w:r>
        <w:rPr>
          <w:rFonts w:hint="eastAsia" w:ascii="仿宋_GB2312" w:hAnsi="仿宋_GB2312" w:eastAsia="仿宋_GB2312" w:cs="仿宋_GB2312"/>
          <w:szCs w:val="32"/>
        </w:rPr>
        <w:t xml:space="preserve">辆、特种专业技术用车 </w:t>
      </w:r>
      <w:r>
        <w:rPr>
          <w:rFonts w:hint="eastAsia" w:ascii="仿宋_GB2312" w:hAnsi="仿宋_GB2312" w:cs="仿宋_GB2312"/>
          <w:szCs w:val="32"/>
          <w:lang w:val="en-US" w:eastAsia="zh-CN"/>
        </w:rPr>
        <w:t>0</w:t>
      </w:r>
      <w:r>
        <w:rPr>
          <w:rFonts w:hint="eastAsia" w:ascii="仿宋_GB2312" w:hAnsi="仿宋_GB2312" w:eastAsia="仿宋_GB2312" w:cs="仿宋_GB2312"/>
          <w:szCs w:val="32"/>
        </w:rPr>
        <w:t xml:space="preserve">辆、其他用车 </w:t>
      </w:r>
      <w:r>
        <w:rPr>
          <w:rFonts w:hint="eastAsia" w:ascii="仿宋_GB2312" w:hAnsi="仿宋_GB2312" w:cs="仿宋_GB2312"/>
          <w:szCs w:val="32"/>
          <w:lang w:val="en-US" w:eastAsia="zh-CN"/>
        </w:rPr>
        <w:t>0</w:t>
      </w:r>
      <w:r>
        <w:rPr>
          <w:rFonts w:hint="eastAsia" w:ascii="仿宋_GB2312" w:hAnsi="仿宋_GB2312" w:eastAsia="仿宋_GB2312" w:cs="仿宋_GB2312"/>
          <w:szCs w:val="32"/>
        </w:rPr>
        <w:t>辆</w:t>
      </w:r>
      <w:r>
        <w:rPr>
          <w:rFonts w:hint="eastAsia" w:ascii="仿宋_GB2312" w:hAnsi="仿宋_GB2312" w:cs="仿宋_GB2312"/>
          <w:szCs w:val="32"/>
          <w:lang w:eastAsia="zh-CN"/>
        </w:rPr>
        <w:t>。</w:t>
      </w:r>
    </w:p>
    <w:p w14:paraId="1E97182A">
      <w:pPr>
        <w:bidi w:val="0"/>
        <w:ind w:firstLine="640" w:firstLineChars="200"/>
        <w:rPr>
          <w:rFonts w:hint="eastAsia" w:ascii="黑体" w:hAnsi="黑体" w:eastAsia="黑体" w:cs="黑体"/>
          <w:lang w:val="en-US" w:eastAsia="zh-CN"/>
        </w:rPr>
      </w:pPr>
      <w:r>
        <w:rPr>
          <w:rFonts w:hint="eastAsia" w:ascii="黑体" w:hAnsi="黑体" w:eastAsia="黑体" w:cs="黑体"/>
          <w:lang w:val="en-US" w:eastAsia="zh-CN"/>
        </w:rPr>
        <w:t>十三、预算绩效情况说明</w:t>
      </w:r>
    </w:p>
    <w:p w14:paraId="14D49693">
      <w:pPr>
        <w:bidi w:val="0"/>
        <w:ind w:firstLine="640" w:firstLineChars="200"/>
        <w:rPr>
          <w:rFonts w:hint="eastAsia" w:ascii="楷体_GB2312" w:hAnsi="楷体_GB2312" w:eastAsia="楷体_GB2312" w:cs="楷体_GB2312"/>
          <w:lang w:eastAsia="zh-CN"/>
        </w:rPr>
      </w:pPr>
      <w:r>
        <w:rPr>
          <w:rFonts w:hint="eastAsia" w:ascii="楷体_GB2312" w:hAnsi="楷体_GB2312" w:eastAsia="楷体_GB2312" w:cs="楷体_GB2312"/>
          <w:lang w:val="en-US" w:eastAsia="zh-CN"/>
        </w:rPr>
        <w:t>(一)</w:t>
      </w:r>
      <w:r>
        <w:rPr>
          <w:rFonts w:hint="eastAsia" w:ascii="楷体_GB2312" w:hAnsi="楷体_GB2312" w:eastAsia="楷体_GB2312" w:cs="楷体_GB2312"/>
        </w:rPr>
        <w:t>预算绩效管理工作开展情况</w:t>
      </w:r>
      <w:r>
        <w:rPr>
          <w:rFonts w:hint="eastAsia" w:ascii="楷体_GB2312" w:hAnsi="楷体_GB2312" w:eastAsia="楷体_GB2312" w:cs="楷体_GB2312"/>
          <w:lang w:eastAsia="zh-CN"/>
        </w:rPr>
        <w:t>。</w:t>
      </w:r>
    </w:p>
    <w:p w14:paraId="37ED5DAC">
      <w:pPr>
        <w:bidi w:val="0"/>
        <w:ind w:firstLine="640" w:firstLineChars="200"/>
        <w:rPr>
          <w:rFonts w:hint="eastAsia" w:ascii="华文仿宋" w:hAnsi="华文仿宋" w:eastAsia="华文仿宋" w:cs="华文仿宋"/>
          <w:b/>
          <w:bCs/>
          <w:sz w:val="32"/>
          <w:szCs w:val="32"/>
        </w:rPr>
      </w:pPr>
      <w:r>
        <w:rPr>
          <w:rFonts w:hint="eastAsia" w:ascii="华文仿宋" w:hAnsi="华文仿宋" w:eastAsia="华文仿宋" w:cs="华文仿宋"/>
          <w:sz w:val="32"/>
          <w:szCs w:val="32"/>
        </w:rPr>
        <w:t>根据预算绩效管理要求，本部门组织对202</w:t>
      </w:r>
      <w:r>
        <w:rPr>
          <w:rFonts w:hint="eastAsia" w:ascii="华文仿宋" w:hAnsi="华文仿宋" w:eastAsia="华文仿宋" w:cs="华文仿宋"/>
          <w:sz w:val="32"/>
          <w:szCs w:val="32"/>
          <w:lang w:val="en-US" w:eastAsia="zh-CN"/>
        </w:rPr>
        <w:t>2</w:t>
      </w:r>
      <w:r>
        <w:rPr>
          <w:rFonts w:hint="eastAsia" w:ascii="华文仿宋" w:hAnsi="华文仿宋" w:eastAsia="华文仿宋" w:cs="华文仿宋"/>
          <w:sz w:val="32"/>
          <w:szCs w:val="32"/>
        </w:rPr>
        <w:t>年度一般公共预算项目支出全面开展绩效自评，共涉及项目</w:t>
      </w:r>
      <w:r>
        <w:rPr>
          <w:rFonts w:hint="eastAsia" w:ascii="华文仿宋" w:hAnsi="华文仿宋" w:eastAsia="华文仿宋" w:cs="华文仿宋"/>
          <w:sz w:val="32"/>
          <w:szCs w:val="32"/>
          <w:lang w:val="en-US" w:eastAsia="zh-CN"/>
        </w:rPr>
        <w:t>3</w:t>
      </w:r>
      <w:r>
        <w:rPr>
          <w:rFonts w:hint="eastAsia" w:ascii="华文仿宋" w:hAnsi="华文仿宋" w:eastAsia="华文仿宋" w:cs="华文仿宋"/>
          <w:sz w:val="32"/>
          <w:szCs w:val="32"/>
        </w:rPr>
        <w:t>个，资金</w:t>
      </w:r>
      <w:r>
        <w:rPr>
          <w:rFonts w:hint="eastAsia" w:ascii="华文仿宋" w:hAnsi="华文仿宋" w:eastAsia="华文仿宋" w:cs="华文仿宋"/>
          <w:sz w:val="32"/>
          <w:szCs w:val="32"/>
          <w:lang w:val="en-US" w:eastAsia="zh-CN"/>
        </w:rPr>
        <w:t>1430</w:t>
      </w:r>
      <w:r>
        <w:rPr>
          <w:rFonts w:hint="eastAsia" w:ascii="华文仿宋" w:hAnsi="华文仿宋" w:eastAsia="华文仿宋" w:cs="华文仿宋"/>
          <w:sz w:val="32"/>
          <w:szCs w:val="32"/>
        </w:rPr>
        <w:t>万元，占一般公共预算项目支出总额的</w:t>
      </w:r>
      <w:r>
        <w:rPr>
          <w:rFonts w:hint="eastAsia" w:ascii="华文仿宋" w:hAnsi="华文仿宋" w:eastAsia="华文仿宋" w:cs="华文仿宋"/>
          <w:sz w:val="32"/>
          <w:szCs w:val="32"/>
          <w:lang w:val="en-US" w:eastAsia="zh-CN"/>
        </w:rPr>
        <w:t>58</w:t>
      </w:r>
      <w:r>
        <w:rPr>
          <w:rFonts w:hint="eastAsia" w:ascii="华文仿宋" w:hAnsi="华文仿宋" w:eastAsia="华文仿宋" w:cs="华文仿宋"/>
          <w:sz w:val="32"/>
          <w:szCs w:val="32"/>
        </w:rPr>
        <w:t>％。从评价情</w:t>
      </w:r>
      <w:bookmarkStart w:id="0" w:name="_GoBack"/>
      <w:bookmarkEnd w:id="0"/>
      <w:r>
        <w:rPr>
          <w:rFonts w:hint="eastAsia" w:ascii="华文仿宋" w:hAnsi="华文仿宋" w:eastAsia="华文仿宋" w:cs="华文仿宋"/>
          <w:sz w:val="32"/>
          <w:szCs w:val="32"/>
          <w:lang w:eastAsia="zh-CN"/>
        </w:rPr>
        <w:t>况来看，</w:t>
      </w:r>
      <w:r>
        <w:rPr>
          <w:rFonts w:hint="eastAsia" w:ascii="华文仿宋" w:hAnsi="华文仿宋" w:eastAsia="华文仿宋" w:cs="华文仿宋"/>
          <w:sz w:val="32"/>
          <w:szCs w:val="32"/>
          <w:lang w:val="en-US" w:eastAsia="zh-CN"/>
        </w:rPr>
        <w:t>有关项目预算执行及时、有效，绩效目标得到较好实现，绩效管理水平不断提高，绩效指标体系建设逐渐丰富和完善，较为充分反映财政体制改革的工作目标和任务</w:t>
      </w:r>
    </w:p>
    <w:p w14:paraId="32EBDD1A">
      <w:pPr>
        <w:pStyle w:val="11"/>
        <w:rPr>
          <w:rFonts w:hint="eastAsia" w:ascii="仿宋_GB2312" w:hAnsi="仿宋_GB2312" w:eastAsia="仿宋_GB2312" w:cs="仿宋_GB2312"/>
          <w:sz w:val="32"/>
          <w:szCs w:val="32"/>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部门决算中项目绩效自评结果。</w:t>
      </w:r>
    </w:p>
    <w:p w14:paraId="5934541A">
      <w:pPr>
        <w:keepNext w:val="0"/>
        <w:keepLines w:val="0"/>
        <w:pageBreakBefore w:val="0"/>
        <w:kinsoku/>
        <w:wordWrap/>
        <w:overflowPunct/>
        <w:topLinePunct w:val="0"/>
        <w:autoSpaceDE/>
        <w:autoSpaceDN/>
        <w:bidi w:val="0"/>
        <w:adjustRightInd/>
        <w:snapToGrid/>
        <w:spacing w:line="560" w:lineRule="exact"/>
        <w:ind w:firstLine="642"/>
        <w:textAlignment w:val="auto"/>
        <w:rPr>
          <w:rFonts w:hint="eastAsia" w:ascii="华文仿宋" w:hAnsi="华文仿宋" w:eastAsia="华文仿宋" w:cs="华文仿宋"/>
          <w:color w:val="auto"/>
          <w:kern w:val="2"/>
          <w:sz w:val="32"/>
          <w:szCs w:val="32"/>
          <w:highlight w:val="none"/>
          <w:lang w:val="en-US" w:eastAsia="zh-CN"/>
        </w:rPr>
      </w:pPr>
      <w:r>
        <w:rPr>
          <w:rFonts w:hint="eastAsia" w:ascii="华文仿宋" w:hAnsi="华文仿宋" w:eastAsia="华文仿宋" w:cs="华文仿宋"/>
          <w:bCs/>
          <w:sz w:val="32"/>
          <w:szCs w:val="32"/>
          <w:highlight w:val="none"/>
          <w:lang w:val="en-US" w:eastAsia="zh-CN"/>
        </w:rPr>
        <w:t>车埠镇江河湖库水系治理项目绩效综述年度资金预算200万元，资金来源为单位自筹资金。实际使用资金200万元，执行率100%，通过拆除围堤，清四乱，完成二处围湖1030亩围堰土方工程及湖内养殖，其中：</w:t>
      </w:r>
      <w:r>
        <w:rPr>
          <w:rFonts w:hint="eastAsia" w:ascii="华文仿宋" w:hAnsi="华文仿宋" w:eastAsia="华文仿宋" w:cs="华文仿宋"/>
          <w:color w:val="auto"/>
          <w:kern w:val="2"/>
          <w:sz w:val="32"/>
          <w:szCs w:val="32"/>
          <w:highlight w:val="none"/>
          <w:lang w:val="en-US" w:eastAsia="zh-CN"/>
        </w:rPr>
        <w:t>下梅湖退湖还河面积730亩；糙耙山湖退湖还河面积300亩，达到符合</w:t>
      </w:r>
      <w:r>
        <w:rPr>
          <w:rFonts w:hint="eastAsia" w:ascii="华文仿宋" w:hAnsi="华文仿宋" w:eastAsia="华文仿宋" w:cs="华文仿宋"/>
          <w:bCs/>
          <w:sz w:val="32"/>
          <w:szCs w:val="32"/>
          <w:highlight w:val="none"/>
          <w:lang w:val="en-US" w:eastAsia="zh-CN"/>
        </w:rPr>
        <w:t>退垸还河标准，恢复湖泊功能，形成人放天养长效管护机制，达到修复生态的目的。</w:t>
      </w:r>
    </w:p>
    <w:p w14:paraId="6D8D0A61">
      <w:pPr>
        <w:pStyle w:val="6"/>
        <w:keepNext w:val="0"/>
        <w:keepLines w:val="0"/>
        <w:widowControl/>
        <w:suppressLineNumbers w:val="0"/>
        <w:ind w:left="0" w:firstLine="960" w:firstLineChars="300"/>
        <w:jc w:val="left"/>
        <w:rPr>
          <w:rFonts w:hint="eastAsia" w:ascii="华文仿宋" w:hAnsi="华文仿宋" w:eastAsia="华文仿宋" w:cs="华文仿宋"/>
          <w:sz w:val="32"/>
          <w:szCs w:val="32"/>
          <w:highlight w:val="none"/>
          <w:lang w:val="en-US" w:eastAsia="zh-CN"/>
        </w:rPr>
      </w:pPr>
      <w:r>
        <w:rPr>
          <w:rFonts w:hint="eastAsia" w:ascii="华文仿宋" w:hAnsi="华文仿宋" w:eastAsia="华文仿宋" w:cs="华文仿宋"/>
          <w:sz w:val="32"/>
          <w:szCs w:val="32"/>
          <w:highlight w:val="none"/>
          <w:lang w:val="en-US" w:eastAsia="zh-CN"/>
        </w:rPr>
        <w:t>车埠镇城乡环境卫生整治项目绩效自评综述：车埠镇城乡环境卫生整治项目年初预算指标为230万元，实际使用资金为265万元，执行率达到115%。完成了该项目的绩效目标。主要产出和效益是居民区、市场及临街门店经营户配有垃圾桶，无积存垃圾，垃圾清运及时，提高农村人居环境整治精细化水平。发现问题及原因是绩效评价体系还不够完善，绩效管理工作不够规范，这主要是由于绩效管理制度还不够完善，绩效评价体系还有待提升。</w:t>
      </w:r>
    </w:p>
    <w:p w14:paraId="04E3DFDF">
      <w:pPr>
        <w:pStyle w:val="6"/>
        <w:keepNext w:val="0"/>
        <w:keepLines w:val="0"/>
        <w:widowControl/>
        <w:suppressLineNumbers w:val="0"/>
        <w:ind w:left="0" w:firstLine="960" w:firstLineChars="300"/>
        <w:jc w:val="left"/>
        <w:rPr>
          <w:rFonts w:hint="eastAsia" w:ascii="华文仿宋" w:hAnsi="华文仿宋" w:eastAsia="华文仿宋" w:cs="华文仿宋"/>
          <w:sz w:val="32"/>
          <w:szCs w:val="32"/>
          <w:highlight w:val="none"/>
          <w:lang w:val="en-US" w:eastAsia="zh-CN"/>
        </w:rPr>
      </w:pPr>
      <w:r>
        <w:rPr>
          <w:rFonts w:hint="eastAsia" w:ascii="华文仿宋" w:hAnsi="华文仿宋" w:eastAsia="华文仿宋" w:cs="华文仿宋"/>
          <w:sz w:val="32"/>
          <w:szCs w:val="32"/>
          <w:highlight w:val="none"/>
          <w:lang w:val="en-US" w:eastAsia="zh-CN"/>
        </w:rPr>
        <w:t>车埠镇纺织工业园项目绩效自评综述：新兴纺织产业园项目年初预算指标为1000万元，实际使用资金为747.87万元，执行率达到75%，基本完成了该项目的绩效目标。主要产出和效益是促进就业，维护社会稳定，促进经济社会发展，壮大产业群，优化资源配置，建设节约型经济。完成项目立项、规划设计等前期工作；进行土建及配套设施施工。发现问题及原因是绩效评价体系还不够完善，绩效管理工作不够规范，这主要是由于绩效管理制度还不够完善，绩效评价体系还有待提升。</w:t>
      </w:r>
    </w:p>
    <w:p w14:paraId="17F50BCE">
      <w:pPr>
        <w:spacing w:line="560" w:lineRule="exact"/>
        <w:ind w:firstLine="640"/>
        <w:rPr>
          <w:rFonts w:hint="eastAsia" w:ascii="楷体_GB2312" w:hAnsi="楷体_GB2312" w:eastAsia="楷体_GB2312" w:cs="楷体_GB2312"/>
          <w:bCs/>
          <w:sz w:val="32"/>
          <w:szCs w:val="32"/>
          <w:lang w:eastAsia="zh-CN"/>
        </w:rPr>
      </w:pPr>
      <w:r>
        <w:rPr>
          <w:rFonts w:hint="eastAsia" w:ascii="楷体_GB2312" w:hAnsi="楷体_GB2312" w:eastAsia="楷体_GB2312" w:cs="楷体_GB2312"/>
          <w:sz w:val="32"/>
          <w:szCs w:val="32"/>
          <w:lang w:val="en-US" w:eastAsia="zh-CN"/>
        </w:rPr>
        <w:t>（三）</w:t>
      </w:r>
      <w:r>
        <w:rPr>
          <w:rFonts w:hint="eastAsia" w:ascii="楷体_GB2312" w:hAnsi="楷体_GB2312" w:eastAsia="楷体_GB2312" w:cs="楷体_GB2312"/>
          <w:bCs/>
          <w:sz w:val="32"/>
          <w:szCs w:val="32"/>
        </w:rPr>
        <w:t>绩效评价结果应用情况</w:t>
      </w:r>
      <w:r>
        <w:rPr>
          <w:rFonts w:hint="eastAsia" w:ascii="楷体_GB2312" w:hAnsi="楷体_GB2312" w:eastAsia="楷体_GB2312" w:cs="楷体_GB2312"/>
          <w:bCs/>
          <w:sz w:val="32"/>
          <w:szCs w:val="32"/>
          <w:lang w:eastAsia="zh-CN"/>
        </w:rPr>
        <w:t>。</w:t>
      </w:r>
    </w:p>
    <w:p w14:paraId="18EAE1FE">
      <w:pPr>
        <w:pStyle w:val="6"/>
        <w:keepNext w:val="0"/>
        <w:keepLines w:val="0"/>
        <w:widowControl/>
        <w:suppressLineNumbers w:val="0"/>
        <w:ind w:left="0" w:firstLine="960" w:firstLineChars="300"/>
        <w:jc w:val="left"/>
        <w:rPr>
          <w:rFonts w:hint="eastAsia" w:ascii="华文仿宋" w:hAnsi="华文仿宋" w:eastAsia="华文仿宋" w:cs="华文仿宋"/>
          <w:sz w:val="32"/>
          <w:szCs w:val="32"/>
          <w:lang w:val="en-US" w:eastAsia="zh-CN"/>
        </w:rPr>
      </w:pPr>
      <w:r>
        <w:rPr>
          <w:rFonts w:hint="eastAsia" w:ascii="华文仿宋" w:hAnsi="华文仿宋" w:eastAsia="华文仿宋" w:cs="华文仿宋"/>
          <w:sz w:val="32"/>
          <w:szCs w:val="32"/>
          <w:lang w:val="en-US" w:eastAsia="zh-CN"/>
        </w:rPr>
        <w:t>赤壁市车埠镇人民政府将绩效自评结果作为以后年度该项目预算编制和安排财政资金的重要参考依据；将绩效自评结果按照要求向社会公开，自觉接受社会监督。</w:t>
      </w:r>
    </w:p>
    <w:p w14:paraId="055277E8">
      <w:pPr>
        <w:pStyle w:val="6"/>
        <w:keepNext w:val="0"/>
        <w:keepLines w:val="0"/>
        <w:widowControl/>
        <w:suppressLineNumbers w:val="0"/>
        <w:ind w:left="0" w:firstLine="960" w:firstLineChars="300"/>
        <w:jc w:val="left"/>
        <w:rPr>
          <w:rFonts w:hint="eastAsia" w:ascii="华文仿宋" w:hAnsi="华文仿宋" w:eastAsia="华文仿宋" w:cs="华文仿宋"/>
          <w:sz w:val="32"/>
          <w:szCs w:val="32"/>
          <w:lang w:val="en-US" w:eastAsia="zh-CN"/>
        </w:rPr>
      </w:pPr>
      <w:r>
        <w:rPr>
          <w:rFonts w:hint="eastAsia" w:ascii="华文仿宋" w:hAnsi="华文仿宋" w:eastAsia="华文仿宋" w:cs="华文仿宋"/>
          <w:sz w:val="32"/>
          <w:szCs w:val="32"/>
        </w:rPr>
        <w:t>部门绩效评价结果拟应用情况。</w:t>
      </w:r>
      <w:r>
        <w:rPr>
          <w:rFonts w:hint="eastAsia" w:ascii="华文仿宋" w:hAnsi="华文仿宋" w:eastAsia="华文仿宋" w:cs="华文仿宋"/>
          <w:sz w:val="32"/>
          <w:szCs w:val="32"/>
          <w:lang w:val="en-US" w:eastAsia="zh-CN"/>
        </w:rPr>
        <w:t>赤壁市车埠镇人民政府将绩效自评结果与2023年预算编制相结合，对实施效果好的项目优先保障项目资金预算，并在编制预算的过程中，对绩效目标及指标进行梳理完善，完成绩效指标编制自评工作。同时加强内部控制管理，建立项目绩效考核机制，促进项目产出及效益提升，将绩效管理工作落到实处。</w:t>
      </w:r>
    </w:p>
    <w:p w14:paraId="6CBDB3BF">
      <w:pPr>
        <w:spacing w:line="560" w:lineRule="exact"/>
        <w:ind w:firstLine="640"/>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第四部分  其他需要说明的情况</w:t>
      </w:r>
    </w:p>
    <w:p w14:paraId="78024236">
      <w:pPr>
        <w:spacing w:line="560" w:lineRule="exact"/>
        <w:ind w:firstLine="640"/>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第五部分  名词解释</w:t>
      </w:r>
    </w:p>
    <w:p w14:paraId="6C1476CB">
      <w:pPr>
        <w:keepNext w:val="0"/>
        <w:keepLines w:val="0"/>
        <w:pageBreakBefore w:val="0"/>
        <w:widowControl w:val="0"/>
        <w:numPr>
          <w:ilvl w:val="0"/>
          <w:numId w:val="0"/>
        </w:numPr>
        <w:kinsoku/>
        <w:wordWrap/>
        <w:overflowPunct/>
        <w:topLinePunct w:val="0"/>
        <w:autoSpaceDE/>
        <w:autoSpaceDN/>
        <w:bidi w:val="0"/>
        <w:spacing w:line="360" w:lineRule="auto"/>
        <w:ind w:firstLine="640" w:firstLineChars="200"/>
        <w:jc w:val="both"/>
        <w:textAlignment w:val="auto"/>
        <w:outlineLvl w:val="9"/>
        <w:rPr>
          <w:rFonts w:hint="eastAsia" w:ascii="Times New Roman" w:hAnsi="Times New Roman" w:cs="Times New Roman"/>
          <w:lang w:val="en-US" w:eastAsia="zh-CN"/>
        </w:rPr>
      </w:pPr>
      <w:r>
        <w:rPr>
          <w:rFonts w:hint="eastAsia" w:ascii="Times New Roman" w:hAnsi="Times New Roman" w:cs="Times New Roman"/>
          <w:lang w:val="en-US" w:eastAsia="zh-CN"/>
        </w:rPr>
        <w:t>(一)一般公共预算财政拨款收入：</w:t>
      </w:r>
      <w:r>
        <w:rPr>
          <w:rFonts w:hint="default" w:ascii="Times New Roman" w:hAnsi="Times New Roman" w:cs="Times New Roman"/>
          <w:lang w:val="en-US" w:eastAsia="zh-CN"/>
        </w:rPr>
        <w:t>指</w:t>
      </w:r>
      <w:r>
        <w:rPr>
          <w:rFonts w:hint="eastAsia" w:ascii="Times New Roman" w:hAnsi="Times New Roman" w:cs="Times New Roman"/>
          <w:lang w:val="en-US" w:eastAsia="zh-CN"/>
        </w:rPr>
        <w:t>市级</w:t>
      </w:r>
      <w:r>
        <w:rPr>
          <w:rFonts w:hint="default" w:ascii="Times New Roman" w:hAnsi="Times New Roman" w:cs="Times New Roman"/>
          <w:lang w:val="en-US" w:eastAsia="zh-CN"/>
        </w:rPr>
        <w:t>财政</w:t>
      </w:r>
      <w:r>
        <w:rPr>
          <w:rFonts w:hint="eastAsia" w:ascii="Times New Roman" w:hAnsi="Times New Roman" w:cs="Times New Roman"/>
          <w:lang w:val="en-US" w:eastAsia="zh-CN"/>
        </w:rPr>
        <w:t>一般公共预算</w:t>
      </w:r>
      <w:r>
        <w:rPr>
          <w:rFonts w:hint="default" w:ascii="Times New Roman" w:hAnsi="Times New Roman" w:cs="Times New Roman"/>
          <w:lang w:val="en-US" w:eastAsia="zh-CN"/>
        </w:rPr>
        <w:t>当年拨付的</w:t>
      </w:r>
      <w:r>
        <w:rPr>
          <w:rFonts w:hint="eastAsia" w:ascii="Times New Roman" w:hAnsi="Times New Roman" w:cs="Times New Roman"/>
          <w:lang w:val="en-US" w:eastAsia="zh-CN"/>
        </w:rPr>
        <w:t>资金。</w:t>
      </w:r>
    </w:p>
    <w:p w14:paraId="7BD04D31">
      <w:pPr>
        <w:keepNext w:val="0"/>
        <w:keepLines w:val="0"/>
        <w:pageBreakBefore w:val="0"/>
        <w:widowControl w:val="0"/>
        <w:numPr>
          <w:ilvl w:val="0"/>
          <w:numId w:val="0"/>
        </w:numPr>
        <w:kinsoku/>
        <w:wordWrap/>
        <w:overflowPunct/>
        <w:topLinePunct w:val="0"/>
        <w:autoSpaceDE/>
        <w:autoSpaceDN/>
        <w:bidi w:val="0"/>
        <w:spacing w:line="360" w:lineRule="auto"/>
        <w:ind w:firstLine="640" w:firstLineChars="200"/>
        <w:jc w:val="both"/>
        <w:textAlignment w:val="auto"/>
        <w:outlineLvl w:val="9"/>
        <w:rPr>
          <w:rFonts w:hint="eastAsia" w:ascii="Times New Roman" w:hAnsi="Times New Roman" w:cs="Times New Roman"/>
          <w:lang w:val="en-US" w:eastAsia="zh-CN"/>
        </w:rPr>
      </w:pPr>
      <w:r>
        <w:rPr>
          <w:rFonts w:hint="eastAsia" w:ascii="Times New Roman" w:hAnsi="Times New Roman" w:cs="Times New Roman"/>
          <w:lang w:val="en-US" w:eastAsia="zh-CN"/>
        </w:rPr>
        <w:t>(二)政府性基金预算财政拨款收入：</w:t>
      </w:r>
      <w:r>
        <w:rPr>
          <w:rFonts w:hint="default" w:ascii="Times New Roman" w:hAnsi="Times New Roman" w:cs="Times New Roman"/>
          <w:lang w:val="en-US" w:eastAsia="zh-CN"/>
        </w:rPr>
        <w:t>指</w:t>
      </w:r>
      <w:r>
        <w:rPr>
          <w:rFonts w:hint="eastAsia" w:ascii="Times New Roman" w:hAnsi="Times New Roman" w:cs="Times New Roman"/>
          <w:lang w:val="en-US" w:eastAsia="zh-CN"/>
        </w:rPr>
        <w:t>市级</w:t>
      </w:r>
      <w:r>
        <w:rPr>
          <w:rFonts w:hint="default" w:ascii="Times New Roman" w:hAnsi="Times New Roman" w:cs="Times New Roman"/>
          <w:lang w:val="en-US" w:eastAsia="zh-CN"/>
        </w:rPr>
        <w:t>财政</w:t>
      </w:r>
      <w:r>
        <w:rPr>
          <w:rFonts w:hint="eastAsia" w:ascii="Times New Roman" w:hAnsi="Times New Roman" w:cs="Times New Roman"/>
          <w:lang w:val="en-US" w:eastAsia="zh-CN"/>
        </w:rPr>
        <w:t>政府性基金预算</w:t>
      </w:r>
      <w:r>
        <w:rPr>
          <w:rFonts w:hint="default" w:ascii="Times New Roman" w:hAnsi="Times New Roman" w:cs="Times New Roman"/>
          <w:lang w:val="en-US" w:eastAsia="zh-CN"/>
        </w:rPr>
        <w:t>当年拨付的</w:t>
      </w:r>
      <w:r>
        <w:rPr>
          <w:rFonts w:hint="eastAsia" w:ascii="Times New Roman" w:hAnsi="Times New Roman" w:cs="Times New Roman"/>
          <w:lang w:val="en-US" w:eastAsia="zh-CN"/>
        </w:rPr>
        <w:t>资金。</w:t>
      </w:r>
    </w:p>
    <w:p w14:paraId="61AAC341">
      <w:pPr>
        <w:keepNext w:val="0"/>
        <w:keepLines w:val="0"/>
        <w:pageBreakBefore w:val="0"/>
        <w:widowControl w:val="0"/>
        <w:numPr>
          <w:ilvl w:val="0"/>
          <w:numId w:val="0"/>
        </w:numPr>
        <w:kinsoku/>
        <w:wordWrap/>
        <w:overflowPunct/>
        <w:topLinePunct w:val="0"/>
        <w:autoSpaceDE/>
        <w:autoSpaceDN/>
        <w:bidi w:val="0"/>
        <w:spacing w:line="360" w:lineRule="auto"/>
        <w:ind w:firstLine="640" w:firstLineChars="200"/>
        <w:jc w:val="both"/>
        <w:textAlignment w:val="auto"/>
        <w:outlineLvl w:val="9"/>
        <w:rPr>
          <w:rFonts w:hint="eastAsia" w:ascii="Times New Roman" w:hAnsi="Times New Roman" w:cs="Times New Roman"/>
          <w:lang w:val="en-US" w:eastAsia="zh-CN"/>
        </w:rPr>
      </w:pPr>
      <w:r>
        <w:rPr>
          <w:rFonts w:hint="eastAsia" w:ascii="Times New Roman" w:hAnsi="Times New Roman" w:cs="Times New Roman"/>
          <w:lang w:val="en-US" w:eastAsia="zh-CN"/>
        </w:rPr>
        <w:t>(三)国有资本经营预算财政拨款收入：指市级财政国有资本经营预算当年拨付的资金。</w:t>
      </w:r>
    </w:p>
    <w:p w14:paraId="04AED5E2">
      <w:pPr>
        <w:keepNext w:val="0"/>
        <w:keepLines w:val="0"/>
        <w:pageBreakBefore w:val="0"/>
        <w:widowControl w:val="0"/>
        <w:numPr>
          <w:ilvl w:val="0"/>
          <w:numId w:val="0"/>
        </w:numPr>
        <w:kinsoku/>
        <w:wordWrap/>
        <w:overflowPunct/>
        <w:topLinePunct w:val="0"/>
        <w:autoSpaceDE/>
        <w:autoSpaceDN/>
        <w:bidi w:val="0"/>
        <w:spacing w:line="360" w:lineRule="auto"/>
        <w:ind w:firstLine="640" w:firstLineChars="200"/>
        <w:jc w:val="both"/>
        <w:textAlignment w:val="auto"/>
        <w:outlineLvl w:val="9"/>
        <w:rPr>
          <w:rFonts w:hint="eastAsia" w:ascii="Times New Roman" w:hAnsi="Times New Roman" w:cs="Times New Roman"/>
          <w:lang w:val="en-US" w:eastAsia="zh-CN"/>
        </w:rPr>
      </w:pPr>
      <w:r>
        <w:rPr>
          <w:rFonts w:hint="eastAsia" w:ascii="Times New Roman" w:hAnsi="Times New Roman" w:cs="Times New Roman"/>
          <w:lang w:val="en-US" w:eastAsia="zh-CN"/>
        </w:rPr>
        <w:t>(四)上级补助收入：指从事业单位主管部门和上级单位取得的非财政补助收入。</w:t>
      </w:r>
    </w:p>
    <w:p w14:paraId="7996BC3D">
      <w:pPr>
        <w:keepNext w:val="0"/>
        <w:keepLines w:val="0"/>
        <w:pageBreakBefore w:val="0"/>
        <w:widowControl w:val="0"/>
        <w:numPr>
          <w:ilvl w:val="0"/>
          <w:numId w:val="0"/>
        </w:numPr>
        <w:kinsoku/>
        <w:wordWrap/>
        <w:overflowPunct/>
        <w:topLinePunct w:val="0"/>
        <w:autoSpaceDE/>
        <w:autoSpaceDN/>
        <w:bidi w:val="0"/>
        <w:spacing w:line="360" w:lineRule="auto"/>
        <w:ind w:firstLine="640" w:firstLineChars="200"/>
        <w:jc w:val="both"/>
        <w:textAlignment w:val="auto"/>
        <w:outlineLvl w:val="9"/>
        <w:rPr>
          <w:rFonts w:hint="eastAsia" w:ascii="Times New Roman" w:hAnsi="Times New Roman" w:cs="Times New Roman"/>
          <w:lang w:val="en-US" w:eastAsia="zh-CN"/>
        </w:rPr>
      </w:pPr>
      <w:r>
        <w:rPr>
          <w:rFonts w:hint="eastAsia" w:ascii="Times New Roman" w:hAnsi="Times New Roman" w:cs="Times New Roman"/>
          <w:lang w:val="en-US" w:eastAsia="zh-CN"/>
        </w:rPr>
        <w:t>(五)事业收入：指事业单位开展专业业务活动及其辅助活动取得的收入。</w:t>
      </w:r>
    </w:p>
    <w:p w14:paraId="0C395CAE">
      <w:pPr>
        <w:keepNext w:val="0"/>
        <w:keepLines w:val="0"/>
        <w:pageBreakBefore w:val="0"/>
        <w:widowControl w:val="0"/>
        <w:numPr>
          <w:ilvl w:val="0"/>
          <w:numId w:val="0"/>
        </w:numPr>
        <w:kinsoku/>
        <w:wordWrap/>
        <w:overflowPunct/>
        <w:topLinePunct w:val="0"/>
        <w:autoSpaceDE/>
        <w:autoSpaceDN/>
        <w:bidi w:val="0"/>
        <w:spacing w:line="360" w:lineRule="auto"/>
        <w:ind w:firstLine="640" w:firstLineChars="200"/>
        <w:jc w:val="both"/>
        <w:textAlignment w:val="auto"/>
        <w:outlineLvl w:val="9"/>
        <w:rPr>
          <w:rFonts w:hint="eastAsia" w:ascii="Times New Roman" w:hAnsi="Times New Roman" w:cs="Times New Roman"/>
          <w:lang w:val="en-US" w:eastAsia="zh-CN"/>
        </w:rPr>
      </w:pPr>
      <w:r>
        <w:rPr>
          <w:rFonts w:hint="eastAsia" w:ascii="Times New Roman" w:hAnsi="Times New Roman" w:cs="Times New Roman"/>
          <w:lang w:val="en-US" w:eastAsia="zh-CN"/>
        </w:rPr>
        <w:t>(六)经营收入：指事业单位在专业业务活动及其辅助活动之外开展非独立核算经营活动取得的收入。</w:t>
      </w:r>
    </w:p>
    <w:p w14:paraId="20043C01">
      <w:pPr>
        <w:keepNext w:val="0"/>
        <w:keepLines w:val="0"/>
        <w:pageBreakBefore w:val="0"/>
        <w:widowControl w:val="0"/>
        <w:numPr>
          <w:ilvl w:val="0"/>
          <w:numId w:val="0"/>
        </w:numPr>
        <w:kinsoku/>
        <w:wordWrap/>
        <w:overflowPunct/>
        <w:topLinePunct w:val="0"/>
        <w:autoSpaceDE/>
        <w:autoSpaceDN/>
        <w:bidi w:val="0"/>
        <w:spacing w:line="360" w:lineRule="auto"/>
        <w:ind w:firstLine="640" w:firstLineChars="200"/>
        <w:jc w:val="both"/>
        <w:textAlignment w:val="auto"/>
        <w:outlineLvl w:val="9"/>
        <w:rPr>
          <w:rFonts w:hint="eastAsia" w:ascii="Times New Roman" w:hAnsi="Times New Roman" w:cs="Times New Roman"/>
          <w:lang w:val="en-US" w:eastAsia="zh-CN"/>
        </w:rPr>
      </w:pPr>
      <w:r>
        <w:rPr>
          <w:rFonts w:hint="eastAsia" w:ascii="Times New Roman" w:hAnsi="Times New Roman" w:cs="Times New Roman"/>
          <w:lang w:val="en-US" w:eastAsia="zh-CN"/>
        </w:rPr>
        <w:t>(七)其他收入：指单位取得的除上述“一般公共预算财政拨款收入”、“政府性基金预算财政拨款收入”、“国有资本经营预算财政拨款收入”、“上级补助收入”、“事业收入”、“经营收入”等收入以外的各项收入。（该项名词解释中“上述……等收入”请依据部门收入的实际情况进行解释）</w:t>
      </w:r>
    </w:p>
    <w:p w14:paraId="091A1380">
      <w:pPr>
        <w:keepNext w:val="0"/>
        <w:keepLines w:val="0"/>
        <w:pageBreakBefore w:val="0"/>
        <w:widowControl w:val="0"/>
        <w:numPr>
          <w:ilvl w:val="0"/>
          <w:numId w:val="0"/>
        </w:numPr>
        <w:kinsoku/>
        <w:wordWrap/>
        <w:overflowPunct/>
        <w:topLinePunct w:val="0"/>
        <w:autoSpaceDE/>
        <w:autoSpaceDN/>
        <w:bidi w:val="0"/>
        <w:spacing w:line="360" w:lineRule="auto"/>
        <w:ind w:firstLine="640" w:firstLineChars="200"/>
        <w:jc w:val="both"/>
        <w:textAlignment w:val="auto"/>
        <w:outlineLvl w:val="9"/>
        <w:rPr>
          <w:rFonts w:hint="eastAsia" w:ascii="Times New Roman" w:hAnsi="Times New Roman" w:cs="Times New Roman"/>
          <w:lang w:val="en-US" w:eastAsia="zh-CN"/>
        </w:rPr>
      </w:pPr>
      <w:r>
        <w:rPr>
          <w:rFonts w:hint="eastAsia" w:ascii="Times New Roman" w:hAnsi="Times New Roman" w:cs="Times New Roman"/>
          <w:lang w:val="en-US" w:eastAsia="zh-CN"/>
        </w:rPr>
        <w:t>(八)使用非财政拨款结余：</w:t>
      </w:r>
      <w:r>
        <w:rPr>
          <w:rFonts w:hint="default" w:ascii="Times New Roman" w:hAnsi="Times New Roman" w:cs="Times New Roman"/>
          <w:lang w:val="en-US" w:eastAsia="zh-CN"/>
        </w:rPr>
        <w:t>指事业单位</w:t>
      </w:r>
      <w:r>
        <w:rPr>
          <w:rFonts w:hint="eastAsia" w:ascii="Times New Roman" w:hAnsi="Times New Roman" w:cs="Times New Roman"/>
          <w:lang w:val="en-US" w:eastAsia="zh-CN"/>
        </w:rPr>
        <w:t>使用以前年度积累的非财政拨款结余弥补当年收支差额的金额。</w:t>
      </w:r>
    </w:p>
    <w:p w14:paraId="2A048B2F">
      <w:pPr>
        <w:keepNext w:val="0"/>
        <w:keepLines w:val="0"/>
        <w:pageBreakBefore w:val="0"/>
        <w:widowControl w:val="0"/>
        <w:numPr>
          <w:ilvl w:val="0"/>
          <w:numId w:val="0"/>
        </w:numPr>
        <w:kinsoku/>
        <w:wordWrap/>
        <w:overflowPunct/>
        <w:topLinePunct w:val="0"/>
        <w:autoSpaceDE/>
        <w:autoSpaceDN/>
        <w:bidi w:val="0"/>
        <w:spacing w:line="360" w:lineRule="auto"/>
        <w:ind w:firstLine="640" w:firstLineChars="200"/>
        <w:jc w:val="both"/>
        <w:textAlignment w:val="auto"/>
        <w:outlineLvl w:val="9"/>
        <w:rPr>
          <w:rFonts w:hint="eastAsia" w:ascii="Times New Roman" w:hAnsi="Times New Roman" w:cs="Times New Roman"/>
          <w:lang w:val="en-US" w:eastAsia="zh-CN"/>
        </w:rPr>
      </w:pPr>
      <w:r>
        <w:rPr>
          <w:rFonts w:hint="eastAsia" w:ascii="Times New Roman" w:hAnsi="Times New Roman" w:cs="Times New Roman"/>
          <w:lang w:val="en-US" w:eastAsia="zh-CN"/>
        </w:rPr>
        <w:t>(九)年初结转和结余：</w:t>
      </w:r>
      <w:r>
        <w:rPr>
          <w:rFonts w:hint="default" w:ascii="Times New Roman" w:hAnsi="Times New Roman" w:cs="Times New Roman"/>
          <w:lang w:val="en-US" w:eastAsia="zh-CN"/>
        </w:rPr>
        <w:t>指</w:t>
      </w:r>
      <w:r>
        <w:rPr>
          <w:rFonts w:hint="eastAsia" w:ascii="Times New Roman" w:hAnsi="Times New Roman" w:cs="Times New Roman"/>
          <w:lang w:val="en-US" w:eastAsia="zh-CN"/>
        </w:rPr>
        <w:t>单位</w:t>
      </w:r>
      <w:r>
        <w:rPr>
          <w:rFonts w:hint="default" w:ascii="Times New Roman" w:hAnsi="Times New Roman" w:cs="Times New Roman"/>
          <w:lang w:val="en-US" w:eastAsia="zh-CN"/>
        </w:rPr>
        <w:t>以前年度</w:t>
      </w:r>
      <w:r>
        <w:rPr>
          <w:rFonts w:hint="eastAsia" w:ascii="Times New Roman" w:hAnsi="Times New Roman" w:cs="Times New Roman"/>
          <w:lang w:val="en-US" w:eastAsia="zh-CN"/>
        </w:rPr>
        <w:t>尚未完成</w:t>
      </w:r>
      <w:r>
        <w:rPr>
          <w:rFonts w:hint="default" w:ascii="Times New Roman" w:hAnsi="Times New Roman" w:cs="Times New Roman"/>
          <w:lang w:val="en-US" w:eastAsia="zh-CN"/>
        </w:rPr>
        <w:t>、结转到本年仍按原规定用途继续使用的资金</w:t>
      </w:r>
      <w:r>
        <w:rPr>
          <w:rFonts w:hint="eastAsia" w:ascii="Times New Roman" w:hAnsi="Times New Roman" w:cs="Times New Roman"/>
          <w:lang w:val="en-US" w:eastAsia="zh-CN"/>
        </w:rPr>
        <w:t>，或项目已完成等产生的结余资金</w:t>
      </w:r>
      <w:r>
        <w:rPr>
          <w:rFonts w:hint="default" w:ascii="Times New Roman" w:hAnsi="Times New Roman" w:cs="Times New Roman"/>
          <w:lang w:val="en-US" w:eastAsia="zh-CN"/>
        </w:rPr>
        <w:t>。</w:t>
      </w:r>
    </w:p>
    <w:p w14:paraId="543ED1B3">
      <w:pPr>
        <w:keepNext w:val="0"/>
        <w:keepLines w:val="0"/>
        <w:pageBreakBefore w:val="0"/>
        <w:widowControl w:val="0"/>
        <w:numPr>
          <w:ilvl w:val="0"/>
          <w:numId w:val="0"/>
        </w:numPr>
        <w:kinsoku/>
        <w:wordWrap/>
        <w:overflowPunct/>
        <w:topLinePunct w:val="0"/>
        <w:autoSpaceDE/>
        <w:autoSpaceDN/>
        <w:bidi w:val="0"/>
        <w:spacing w:line="360" w:lineRule="auto"/>
        <w:ind w:firstLine="640" w:firstLineChars="200"/>
        <w:jc w:val="both"/>
        <w:textAlignment w:val="auto"/>
        <w:outlineLvl w:val="9"/>
        <w:rPr>
          <w:rFonts w:hint="eastAsia" w:ascii="Times New Roman" w:hAnsi="Times New Roman" w:cs="Times New Roman"/>
          <w:lang w:val="en-US" w:eastAsia="zh-CN"/>
        </w:rPr>
      </w:pPr>
      <w:r>
        <w:rPr>
          <w:rFonts w:hint="eastAsia" w:ascii="Times New Roman" w:hAnsi="Times New Roman" w:cs="Times New Roman"/>
          <w:lang w:val="en-US" w:eastAsia="zh-CN"/>
        </w:rPr>
        <w:t>(十)本部门使用的支出功能分类科目(到项级)</w:t>
      </w:r>
    </w:p>
    <w:p w14:paraId="4B8934AC">
      <w:pPr>
        <w:keepNext w:val="0"/>
        <w:keepLines w:val="0"/>
        <w:pageBreakBefore w:val="0"/>
        <w:widowControl w:val="0"/>
        <w:numPr>
          <w:ilvl w:val="0"/>
          <w:numId w:val="0"/>
        </w:numPr>
        <w:kinsoku/>
        <w:wordWrap/>
        <w:overflowPunct/>
        <w:topLinePunct w:val="0"/>
        <w:autoSpaceDE/>
        <w:autoSpaceDN/>
        <w:bidi w:val="0"/>
        <w:spacing w:line="360" w:lineRule="auto"/>
        <w:ind w:firstLine="640" w:firstLineChars="200"/>
        <w:jc w:val="both"/>
        <w:textAlignment w:val="auto"/>
        <w:outlineLvl w:val="9"/>
        <w:rPr>
          <w:rFonts w:hint="eastAsia" w:ascii="Times New Roman" w:hAnsi="Times New Roman" w:cs="Times New Roman"/>
          <w:lang w:val="en-US" w:eastAsia="zh-CN"/>
        </w:rPr>
      </w:pPr>
      <w:r>
        <w:rPr>
          <w:rFonts w:hint="eastAsia" w:ascii="Times New Roman" w:hAnsi="Times New Roman" w:cs="Times New Roman"/>
          <w:lang w:val="en-US" w:eastAsia="zh-CN"/>
        </w:rPr>
        <w:t xml:space="preserve">1.一般公共服务(类)人大事务(款)一般行政管理事务 </w:t>
      </w:r>
    </w:p>
    <w:p w14:paraId="1851CF80">
      <w:pPr>
        <w:keepNext w:val="0"/>
        <w:keepLines w:val="0"/>
        <w:pageBreakBefore w:val="0"/>
        <w:widowControl w:val="0"/>
        <w:numPr>
          <w:ilvl w:val="0"/>
          <w:numId w:val="0"/>
        </w:numPr>
        <w:kinsoku/>
        <w:wordWrap/>
        <w:overflowPunct/>
        <w:topLinePunct w:val="0"/>
        <w:autoSpaceDE/>
        <w:autoSpaceDN/>
        <w:bidi w:val="0"/>
        <w:spacing w:line="360" w:lineRule="auto"/>
        <w:ind w:firstLine="640" w:firstLineChars="200"/>
        <w:jc w:val="both"/>
        <w:textAlignment w:val="auto"/>
        <w:outlineLvl w:val="9"/>
        <w:rPr>
          <w:rFonts w:hint="eastAsia" w:ascii="Times New Roman" w:hAnsi="Times New Roman" w:cs="Times New Roman"/>
          <w:lang w:val="en-US" w:eastAsia="zh-CN"/>
        </w:rPr>
      </w:pPr>
      <w:r>
        <w:rPr>
          <w:rFonts w:hint="eastAsia" w:ascii="Times New Roman" w:hAnsi="Times New Roman" w:cs="Times New Roman"/>
          <w:lang w:val="en-US" w:eastAsia="zh-CN"/>
        </w:rPr>
        <w:t xml:space="preserve">(项) </w:t>
      </w:r>
    </w:p>
    <w:p w14:paraId="63A60605">
      <w:pPr>
        <w:keepNext w:val="0"/>
        <w:keepLines w:val="0"/>
        <w:pageBreakBefore w:val="0"/>
        <w:widowControl w:val="0"/>
        <w:numPr>
          <w:ilvl w:val="0"/>
          <w:numId w:val="0"/>
        </w:numPr>
        <w:kinsoku/>
        <w:wordWrap/>
        <w:overflowPunct/>
        <w:topLinePunct w:val="0"/>
        <w:autoSpaceDE/>
        <w:autoSpaceDN/>
        <w:bidi w:val="0"/>
        <w:spacing w:line="360" w:lineRule="auto"/>
        <w:ind w:firstLine="640" w:firstLineChars="200"/>
        <w:jc w:val="both"/>
        <w:textAlignment w:val="auto"/>
        <w:outlineLvl w:val="9"/>
        <w:rPr>
          <w:rFonts w:hint="eastAsia" w:ascii="Times New Roman" w:hAnsi="Times New Roman" w:cs="Times New Roman"/>
          <w:lang w:val="en-US" w:eastAsia="zh-CN"/>
        </w:rPr>
      </w:pPr>
      <w:r>
        <w:rPr>
          <w:rFonts w:hint="eastAsia" w:ascii="Times New Roman" w:hAnsi="Times New Roman" w:cs="Times New Roman"/>
          <w:lang w:val="en-US" w:eastAsia="zh-CN"/>
        </w:rPr>
        <w:t xml:space="preserve">2.一般公共服务(类)政府办公厅（室）及相关机构事务 </w:t>
      </w:r>
    </w:p>
    <w:p w14:paraId="1C1AF38F">
      <w:pPr>
        <w:keepNext w:val="0"/>
        <w:keepLines w:val="0"/>
        <w:pageBreakBefore w:val="0"/>
        <w:widowControl w:val="0"/>
        <w:numPr>
          <w:ilvl w:val="0"/>
          <w:numId w:val="0"/>
        </w:numPr>
        <w:kinsoku/>
        <w:wordWrap/>
        <w:overflowPunct/>
        <w:topLinePunct w:val="0"/>
        <w:autoSpaceDE/>
        <w:autoSpaceDN/>
        <w:bidi w:val="0"/>
        <w:spacing w:line="360" w:lineRule="auto"/>
        <w:ind w:firstLine="640" w:firstLineChars="200"/>
        <w:jc w:val="both"/>
        <w:textAlignment w:val="auto"/>
        <w:outlineLvl w:val="9"/>
        <w:rPr>
          <w:rFonts w:hint="eastAsia" w:ascii="Times New Roman" w:hAnsi="Times New Roman" w:cs="Times New Roman"/>
          <w:lang w:val="en-US" w:eastAsia="zh-CN"/>
        </w:rPr>
      </w:pPr>
      <w:r>
        <w:rPr>
          <w:rFonts w:hint="eastAsia" w:ascii="Times New Roman" w:hAnsi="Times New Roman" w:cs="Times New Roman"/>
          <w:lang w:val="en-US" w:eastAsia="zh-CN"/>
        </w:rPr>
        <w:t xml:space="preserve">(款)行政运行(项) </w:t>
      </w:r>
    </w:p>
    <w:p w14:paraId="10E17EBC">
      <w:pPr>
        <w:keepNext w:val="0"/>
        <w:keepLines w:val="0"/>
        <w:pageBreakBefore w:val="0"/>
        <w:widowControl w:val="0"/>
        <w:numPr>
          <w:ilvl w:val="0"/>
          <w:numId w:val="0"/>
        </w:numPr>
        <w:kinsoku/>
        <w:wordWrap/>
        <w:overflowPunct/>
        <w:topLinePunct w:val="0"/>
        <w:autoSpaceDE/>
        <w:autoSpaceDN/>
        <w:bidi w:val="0"/>
        <w:spacing w:line="360" w:lineRule="auto"/>
        <w:ind w:firstLine="640" w:firstLineChars="200"/>
        <w:jc w:val="both"/>
        <w:textAlignment w:val="auto"/>
        <w:outlineLvl w:val="9"/>
        <w:rPr>
          <w:rFonts w:hint="eastAsia" w:ascii="Times New Roman" w:hAnsi="Times New Roman" w:cs="Times New Roman"/>
          <w:lang w:val="en-US" w:eastAsia="zh-CN"/>
        </w:rPr>
      </w:pPr>
      <w:r>
        <w:rPr>
          <w:rFonts w:hint="eastAsia" w:ascii="Times New Roman" w:hAnsi="Times New Roman" w:cs="Times New Roman"/>
          <w:lang w:val="en-US" w:eastAsia="zh-CN"/>
        </w:rPr>
        <w:t xml:space="preserve">3.一般公共服务(类)政府办公厅（室）及相关机构事务 </w:t>
      </w:r>
    </w:p>
    <w:p w14:paraId="4B042970">
      <w:pPr>
        <w:keepNext w:val="0"/>
        <w:keepLines w:val="0"/>
        <w:pageBreakBefore w:val="0"/>
        <w:widowControl w:val="0"/>
        <w:numPr>
          <w:ilvl w:val="0"/>
          <w:numId w:val="0"/>
        </w:numPr>
        <w:kinsoku/>
        <w:wordWrap/>
        <w:overflowPunct/>
        <w:topLinePunct w:val="0"/>
        <w:autoSpaceDE/>
        <w:autoSpaceDN/>
        <w:bidi w:val="0"/>
        <w:spacing w:line="360" w:lineRule="auto"/>
        <w:ind w:firstLine="640" w:firstLineChars="200"/>
        <w:jc w:val="both"/>
        <w:textAlignment w:val="auto"/>
        <w:outlineLvl w:val="9"/>
        <w:rPr>
          <w:rFonts w:hint="eastAsia" w:ascii="Times New Roman" w:hAnsi="Times New Roman" w:cs="Times New Roman"/>
          <w:lang w:val="en-US" w:eastAsia="zh-CN"/>
        </w:rPr>
      </w:pPr>
      <w:r>
        <w:rPr>
          <w:rFonts w:hint="eastAsia" w:ascii="Times New Roman" w:hAnsi="Times New Roman" w:cs="Times New Roman"/>
          <w:lang w:val="en-US" w:eastAsia="zh-CN"/>
        </w:rPr>
        <w:t xml:space="preserve">(款)一般行政管理事务(项) </w:t>
      </w:r>
    </w:p>
    <w:p w14:paraId="59917306">
      <w:pPr>
        <w:keepNext w:val="0"/>
        <w:keepLines w:val="0"/>
        <w:pageBreakBefore w:val="0"/>
        <w:widowControl w:val="0"/>
        <w:numPr>
          <w:ilvl w:val="0"/>
          <w:numId w:val="0"/>
        </w:numPr>
        <w:kinsoku/>
        <w:wordWrap/>
        <w:overflowPunct/>
        <w:topLinePunct w:val="0"/>
        <w:autoSpaceDE/>
        <w:autoSpaceDN/>
        <w:bidi w:val="0"/>
        <w:spacing w:line="360" w:lineRule="auto"/>
        <w:ind w:firstLine="640" w:firstLineChars="200"/>
        <w:jc w:val="both"/>
        <w:textAlignment w:val="auto"/>
        <w:outlineLvl w:val="9"/>
        <w:rPr>
          <w:rFonts w:hint="eastAsia" w:ascii="Times New Roman" w:hAnsi="Times New Roman" w:cs="Times New Roman"/>
          <w:lang w:val="en-US" w:eastAsia="zh-CN"/>
        </w:rPr>
      </w:pPr>
      <w:r>
        <w:rPr>
          <w:rFonts w:hint="eastAsia" w:ascii="Times New Roman" w:hAnsi="Times New Roman" w:cs="Times New Roman"/>
          <w:lang w:val="en-US" w:eastAsia="zh-CN"/>
        </w:rPr>
        <w:t xml:space="preserve">4.一般公共服务(类)党委办公厅（室）及相关机构事务 </w:t>
      </w:r>
    </w:p>
    <w:p w14:paraId="64F60F04">
      <w:pPr>
        <w:keepNext w:val="0"/>
        <w:keepLines w:val="0"/>
        <w:pageBreakBefore w:val="0"/>
        <w:widowControl w:val="0"/>
        <w:numPr>
          <w:ilvl w:val="0"/>
          <w:numId w:val="0"/>
        </w:numPr>
        <w:kinsoku/>
        <w:wordWrap/>
        <w:overflowPunct/>
        <w:topLinePunct w:val="0"/>
        <w:autoSpaceDE/>
        <w:autoSpaceDN/>
        <w:bidi w:val="0"/>
        <w:spacing w:line="360" w:lineRule="auto"/>
        <w:ind w:firstLine="640" w:firstLineChars="200"/>
        <w:jc w:val="both"/>
        <w:textAlignment w:val="auto"/>
        <w:outlineLvl w:val="9"/>
        <w:rPr>
          <w:rFonts w:hint="eastAsia" w:ascii="Times New Roman" w:hAnsi="Times New Roman" w:cs="Times New Roman"/>
          <w:lang w:val="en-US" w:eastAsia="zh-CN"/>
        </w:rPr>
      </w:pPr>
      <w:r>
        <w:rPr>
          <w:rFonts w:hint="eastAsia" w:ascii="Times New Roman" w:hAnsi="Times New Roman" w:cs="Times New Roman"/>
          <w:lang w:val="en-US" w:eastAsia="zh-CN"/>
        </w:rPr>
        <w:t xml:space="preserve">(款)专项业务(项) </w:t>
      </w:r>
    </w:p>
    <w:p w14:paraId="3E39C1E1">
      <w:pPr>
        <w:keepNext w:val="0"/>
        <w:keepLines w:val="0"/>
        <w:pageBreakBefore w:val="0"/>
        <w:widowControl w:val="0"/>
        <w:numPr>
          <w:ilvl w:val="0"/>
          <w:numId w:val="0"/>
        </w:numPr>
        <w:kinsoku/>
        <w:wordWrap/>
        <w:overflowPunct/>
        <w:topLinePunct w:val="0"/>
        <w:autoSpaceDE/>
        <w:autoSpaceDN/>
        <w:bidi w:val="0"/>
        <w:spacing w:line="360" w:lineRule="auto"/>
        <w:ind w:firstLine="640" w:firstLineChars="200"/>
        <w:jc w:val="both"/>
        <w:textAlignment w:val="auto"/>
        <w:outlineLvl w:val="9"/>
        <w:rPr>
          <w:rFonts w:hint="eastAsia" w:ascii="Times New Roman" w:hAnsi="Times New Roman" w:cs="Times New Roman"/>
          <w:lang w:val="en-US" w:eastAsia="zh-CN"/>
        </w:rPr>
      </w:pPr>
      <w:r>
        <w:rPr>
          <w:rFonts w:hint="eastAsia" w:ascii="Times New Roman" w:hAnsi="Times New Roman" w:cs="Times New Roman"/>
          <w:lang w:val="en-US" w:eastAsia="zh-CN"/>
        </w:rPr>
        <w:t xml:space="preserve">5.一般公共服务(类)其他共产党事务支出(款)一般行 </w:t>
      </w:r>
    </w:p>
    <w:p w14:paraId="07CD2B7B">
      <w:pPr>
        <w:keepNext w:val="0"/>
        <w:keepLines w:val="0"/>
        <w:pageBreakBefore w:val="0"/>
        <w:widowControl w:val="0"/>
        <w:numPr>
          <w:ilvl w:val="0"/>
          <w:numId w:val="0"/>
        </w:numPr>
        <w:kinsoku/>
        <w:wordWrap/>
        <w:overflowPunct/>
        <w:topLinePunct w:val="0"/>
        <w:autoSpaceDE/>
        <w:autoSpaceDN/>
        <w:bidi w:val="0"/>
        <w:spacing w:line="360" w:lineRule="auto"/>
        <w:ind w:firstLine="640" w:firstLineChars="200"/>
        <w:jc w:val="both"/>
        <w:textAlignment w:val="auto"/>
        <w:outlineLvl w:val="9"/>
        <w:rPr>
          <w:rFonts w:hint="eastAsia" w:ascii="Times New Roman" w:hAnsi="Times New Roman" w:cs="Times New Roman"/>
          <w:lang w:val="en-US" w:eastAsia="zh-CN"/>
        </w:rPr>
      </w:pPr>
      <w:r>
        <w:rPr>
          <w:rFonts w:hint="default" w:ascii="Times New Roman" w:hAnsi="Times New Roman" w:cs="Times New Roman"/>
          <w:lang w:val="en-US" w:eastAsia="zh-CN"/>
        </w:rPr>
        <w:t>30</w:t>
      </w:r>
      <w:r>
        <w:rPr>
          <w:rFonts w:hint="eastAsia" w:ascii="Times New Roman" w:hAnsi="Times New Roman" w:cs="Times New Roman"/>
          <w:lang w:val="en-US" w:eastAsia="zh-CN"/>
        </w:rPr>
        <w:t xml:space="preserve">政管理事务(项) </w:t>
      </w:r>
    </w:p>
    <w:p w14:paraId="1FD942D0">
      <w:pPr>
        <w:keepNext w:val="0"/>
        <w:keepLines w:val="0"/>
        <w:pageBreakBefore w:val="0"/>
        <w:widowControl w:val="0"/>
        <w:numPr>
          <w:ilvl w:val="0"/>
          <w:numId w:val="0"/>
        </w:numPr>
        <w:kinsoku/>
        <w:wordWrap/>
        <w:overflowPunct/>
        <w:topLinePunct w:val="0"/>
        <w:autoSpaceDE/>
        <w:autoSpaceDN/>
        <w:bidi w:val="0"/>
        <w:spacing w:line="360" w:lineRule="auto"/>
        <w:ind w:firstLine="640" w:firstLineChars="200"/>
        <w:jc w:val="both"/>
        <w:textAlignment w:val="auto"/>
        <w:outlineLvl w:val="9"/>
        <w:rPr>
          <w:rFonts w:hint="eastAsia" w:ascii="Times New Roman" w:hAnsi="Times New Roman" w:cs="Times New Roman"/>
          <w:lang w:val="en-US" w:eastAsia="zh-CN"/>
        </w:rPr>
      </w:pPr>
      <w:r>
        <w:rPr>
          <w:rFonts w:hint="eastAsia" w:ascii="Times New Roman" w:hAnsi="Times New Roman" w:cs="Times New Roman"/>
          <w:lang w:val="en-US" w:eastAsia="zh-CN"/>
        </w:rPr>
        <w:t xml:space="preserve">6.公共安全支出(类)公安(款)一般行政管理事务(项) </w:t>
      </w:r>
    </w:p>
    <w:p w14:paraId="46FD51B1">
      <w:pPr>
        <w:keepNext w:val="0"/>
        <w:keepLines w:val="0"/>
        <w:pageBreakBefore w:val="0"/>
        <w:widowControl w:val="0"/>
        <w:numPr>
          <w:ilvl w:val="0"/>
          <w:numId w:val="0"/>
        </w:numPr>
        <w:kinsoku/>
        <w:wordWrap/>
        <w:overflowPunct/>
        <w:topLinePunct w:val="0"/>
        <w:autoSpaceDE/>
        <w:autoSpaceDN/>
        <w:bidi w:val="0"/>
        <w:spacing w:line="360" w:lineRule="auto"/>
        <w:ind w:firstLine="640" w:firstLineChars="200"/>
        <w:jc w:val="both"/>
        <w:textAlignment w:val="auto"/>
        <w:outlineLvl w:val="9"/>
        <w:rPr>
          <w:rFonts w:hint="eastAsia" w:ascii="Times New Roman" w:hAnsi="Times New Roman" w:cs="Times New Roman"/>
          <w:lang w:val="en-US" w:eastAsia="zh-CN"/>
        </w:rPr>
      </w:pPr>
      <w:r>
        <w:rPr>
          <w:rFonts w:hint="eastAsia" w:ascii="Times New Roman" w:hAnsi="Times New Roman" w:cs="Times New Roman"/>
          <w:lang w:val="en-US" w:eastAsia="zh-CN"/>
        </w:rPr>
        <w:t xml:space="preserve">7.教育支出(类)普通教育(款)小学教育(项) </w:t>
      </w:r>
    </w:p>
    <w:p w14:paraId="1EE544F6">
      <w:pPr>
        <w:keepNext w:val="0"/>
        <w:keepLines w:val="0"/>
        <w:pageBreakBefore w:val="0"/>
        <w:widowControl w:val="0"/>
        <w:numPr>
          <w:ilvl w:val="0"/>
          <w:numId w:val="0"/>
        </w:numPr>
        <w:kinsoku/>
        <w:wordWrap/>
        <w:overflowPunct/>
        <w:topLinePunct w:val="0"/>
        <w:autoSpaceDE/>
        <w:autoSpaceDN/>
        <w:bidi w:val="0"/>
        <w:spacing w:line="360" w:lineRule="auto"/>
        <w:ind w:firstLine="640" w:firstLineChars="200"/>
        <w:jc w:val="both"/>
        <w:textAlignment w:val="auto"/>
        <w:outlineLvl w:val="9"/>
        <w:rPr>
          <w:rFonts w:hint="eastAsia" w:ascii="Times New Roman" w:hAnsi="Times New Roman" w:cs="Times New Roman"/>
          <w:lang w:val="en-US" w:eastAsia="zh-CN"/>
        </w:rPr>
      </w:pPr>
      <w:r>
        <w:rPr>
          <w:rFonts w:hint="eastAsia" w:ascii="Times New Roman" w:hAnsi="Times New Roman" w:cs="Times New Roman"/>
          <w:lang w:val="en-US" w:eastAsia="zh-CN"/>
        </w:rPr>
        <w:t xml:space="preserve">8.社会保障和就业支出(类)行政事业单位养老支出(款) </w:t>
      </w:r>
    </w:p>
    <w:p w14:paraId="30A30693">
      <w:pPr>
        <w:keepNext w:val="0"/>
        <w:keepLines w:val="0"/>
        <w:pageBreakBefore w:val="0"/>
        <w:widowControl w:val="0"/>
        <w:numPr>
          <w:ilvl w:val="0"/>
          <w:numId w:val="0"/>
        </w:numPr>
        <w:kinsoku/>
        <w:wordWrap/>
        <w:overflowPunct/>
        <w:topLinePunct w:val="0"/>
        <w:autoSpaceDE/>
        <w:autoSpaceDN/>
        <w:bidi w:val="0"/>
        <w:spacing w:line="360" w:lineRule="auto"/>
        <w:ind w:firstLine="640" w:firstLineChars="200"/>
        <w:jc w:val="both"/>
        <w:textAlignment w:val="auto"/>
        <w:outlineLvl w:val="9"/>
        <w:rPr>
          <w:rFonts w:hint="eastAsia" w:ascii="Times New Roman" w:hAnsi="Times New Roman" w:cs="Times New Roman"/>
          <w:lang w:val="en-US" w:eastAsia="zh-CN"/>
        </w:rPr>
      </w:pPr>
      <w:r>
        <w:rPr>
          <w:rFonts w:hint="eastAsia" w:ascii="Times New Roman" w:hAnsi="Times New Roman" w:cs="Times New Roman"/>
          <w:lang w:val="en-US" w:eastAsia="zh-CN"/>
        </w:rPr>
        <w:t xml:space="preserve">行政单位离退休(项) </w:t>
      </w:r>
    </w:p>
    <w:p w14:paraId="723D8E25">
      <w:pPr>
        <w:keepNext w:val="0"/>
        <w:keepLines w:val="0"/>
        <w:pageBreakBefore w:val="0"/>
        <w:widowControl w:val="0"/>
        <w:numPr>
          <w:ilvl w:val="0"/>
          <w:numId w:val="0"/>
        </w:numPr>
        <w:kinsoku/>
        <w:wordWrap/>
        <w:overflowPunct/>
        <w:topLinePunct w:val="0"/>
        <w:autoSpaceDE/>
        <w:autoSpaceDN/>
        <w:bidi w:val="0"/>
        <w:spacing w:line="360" w:lineRule="auto"/>
        <w:ind w:firstLine="640" w:firstLineChars="200"/>
        <w:jc w:val="both"/>
        <w:textAlignment w:val="auto"/>
        <w:outlineLvl w:val="9"/>
        <w:rPr>
          <w:rFonts w:hint="eastAsia" w:ascii="Times New Roman" w:hAnsi="Times New Roman" w:cs="Times New Roman"/>
          <w:lang w:val="en-US" w:eastAsia="zh-CN"/>
        </w:rPr>
      </w:pPr>
      <w:r>
        <w:rPr>
          <w:rFonts w:hint="eastAsia" w:ascii="Times New Roman" w:hAnsi="Times New Roman" w:cs="Times New Roman"/>
          <w:lang w:val="en-US" w:eastAsia="zh-CN"/>
        </w:rPr>
        <w:t xml:space="preserve">9.社会保障和就业支出(类)行政事业单位养老支出(款) </w:t>
      </w:r>
    </w:p>
    <w:p w14:paraId="4D3EAD89">
      <w:pPr>
        <w:keepNext w:val="0"/>
        <w:keepLines w:val="0"/>
        <w:pageBreakBefore w:val="0"/>
        <w:widowControl w:val="0"/>
        <w:numPr>
          <w:ilvl w:val="0"/>
          <w:numId w:val="0"/>
        </w:numPr>
        <w:kinsoku/>
        <w:wordWrap/>
        <w:overflowPunct/>
        <w:topLinePunct w:val="0"/>
        <w:autoSpaceDE/>
        <w:autoSpaceDN/>
        <w:bidi w:val="0"/>
        <w:spacing w:line="360" w:lineRule="auto"/>
        <w:ind w:firstLine="640" w:firstLineChars="200"/>
        <w:jc w:val="both"/>
        <w:textAlignment w:val="auto"/>
        <w:outlineLvl w:val="9"/>
        <w:rPr>
          <w:rFonts w:hint="eastAsia" w:ascii="Times New Roman" w:hAnsi="Times New Roman" w:cs="Times New Roman"/>
          <w:lang w:val="en-US" w:eastAsia="zh-CN"/>
        </w:rPr>
      </w:pPr>
      <w:r>
        <w:rPr>
          <w:rFonts w:hint="eastAsia" w:ascii="Times New Roman" w:hAnsi="Times New Roman" w:cs="Times New Roman"/>
          <w:lang w:val="en-US" w:eastAsia="zh-CN"/>
        </w:rPr>
        <w:t xml:space="preserve">机关事业单位基本养老保险缴费支出(项) </w:t>
      </w:r>
    </w:p>
    <w:p w14:paraId="345F08AA">
      <w:pPr>
        <w:keepNext w:val="0"/>
        <w:keepLines w:val="0"/>
        <w:pageBreakBefore w:val="0"/>
        <w:widowControl w:val="0"/>
        <w:numPr>
          <w:ilvl w:val="0"/>
          <w:numId w:val="0"/>
        </w:numPr>
        <w:kinsoku/>
        <w:wordWrap/>
        <w:overflowPunct/>
        <w:topLinePunct w:val="0"/>
        <w:autoSpaceDE/>
        <w:autoSpaceDN/>
        <w:bidi w:val="0"/>
        <w:spacing w:line="360" w:lineRule="auto"/>
        <w:ind w:firstLine="640" w:firstLineChars="200"/>
        <w:jc w:val="both"/>
        <w:textAlignment w:val="auto"/>
        <w:outlineLvl w:val="9"/>
        <w:rPr>
          <w:rFonts w:hint="eastAsia" w:ascii="Times New Roman" w:hAnsi="Times New Roman" w:cs="Times New Roman"/>
          <w:lang w:val="en-US" w:eastAsia="zh-CN"/>
        </w:rPr>
      </w:pPr>
      <w:r>
        <w:rPr>
          <w:rFonts w:hint="eastAsia" w:ascii="Times New Roman" w:hAnsi="Times New Roman" w:cs="Times New Roman"/>
          <w:lang w:val="en-US" w:eastAsia="zh-CN"/>
        </w:rPr>
        <w:t xml:space="preserve">10.社会保障和就业支出(类)行政事业单位养老支出 </w:t>
      </w:r>
    </w:p>
    <w:p w14:paraId="0BE83005">
      <w:pPr>
        <w:keepNext w:val="0"/>
        <w:keepLines w:val="0"/>
        <w:pageBreakBefore w:val="0"/>
        <w:widowControl w:val="0"/>
        <w:numPr>
          <w:ilvl w:val="0"/>
          <w:numId w:val="0"/>
        </w:numPr>
        <w:kinsoku/>
        <w:wordWrap/>
        <w:overflowPunct/>
        <w:topLinePunct w:val="0"/>
        <w:autoSpaceDE/>
        <w:autoSpaceDN/>
        <w:bidi w:val="0"/>
        <w:spacing w:line="360" w:lineRule="auto"/>
        <w:ind w:firstLine="640" w:firstLineChars="200"/>
        <w:jc w:val="both"/>
        <w:textAlignment w:val="auto"/>
        <w:outlineLvl w:val="9"/>
        <w:rPr>
          <w:rFonts w:hint="eastAsia" w:ascii="Times New Roman" w:hAnsi="Times New Roman" w:cs="Times New Roman"/>
          <w:lang w:val="en-US" w:eastAsia="zh-CN"/>
        </w:rPr>
      </w:pPr>
      <w:r>
        <w:rPr>
          <w:rFonts w:hint="eastAsia" w:ascii="Times New Roman" w:hAnsi="Times New Roman" w:cs="Times New Roman"/>
          <w:lang w:val="en-US" w:eastAsia="zh-CN"/>
        </w:rPr>
        <w:t xml:space="preserve">(款)机关事业单位职业年金缴费支出(项) </w:t>
      </w:r>
    </w:p>
    <w:p w14:paraId="02B9494C">
      <w:pPr>
        <w:keepNext w:val="0"/>
        <w:keepLines w:val="0"/>
        <w:pageBreakBefore w:val="0"/>
        <w:widowControl w:val="0"/>
        <w:numPr>
          <w:ilvl w:val="0"/>
          <w:numId w:val="0"/>
        </w:numPr>
        <w:kinsoku/>
        <w:wordWrap/>
        <w:overflowPunct/>
        <w:topLinePunct w:val="0"/>
        <w:autoSpaceDE/>
        <w:autoSpaceDN/>
        <w:bidi w:val="0"/>
        <w:spacing w:line="360" w:lineRule="auto"/>
        <w:ind w:firstLine="640" w:firstLineChars="200"/>
        <w:jc w:val="both"/>
        <w:textAlignment w:val="auto"/>
        <w:outlineLvl w:val="9"/>
        <w:rPr>
          <w:rFonts w:hint="eastAsia" w:ascii="Times New Roman" w:hAnsi="Times New Roman" w:cs="Times New Roman"/>
          <w:lang w:val="en-US" w:eastAsia="zh-CN"/>
        </w:rPr>
      </w:pPr>
      <w:r>
        <w:rPr>
          <w:rFonts w:hint="eastAsia" w:ascii="Times New Roman" w:hAnsi="Times New Roman" w:cs="Times New Roman"/>
          <w:lang w:val="en-US" w:eastAsia="zh-CN"/>
        </w:rPr>
        <w:t xml:space="preserve">11.卫生健康支出(类)公共卫生(款)突发公共卫生事件 </w:t>
      </w:r>
    </w:p>
    <w:p w14:paraId="0CCED3D7">
      <w:pPr>
        <w:keepNext w:val="0"/>
        <w:keepLines w:val="0"/>
        <w:pageBreakBefore w:val="0"/>
        <w:widowControl w:val="0"/>
        <w:numPr>
          <w:ilvl w:val="0"/>
          <w:numId w:val="0"/>
        </w:numPr>
        <w:kinsoku/>
        <w:wordWrap/>
        <w:overflowPunct/>
        <w:topLinePunct w:val="0"/>
        <w:autoSpaceDE/>
        <w:autoSpaceDN/>
        <w:bidi w:val="0"/>
        <w:spacing w:line="360" w:lineRule="auto"/>
        <w:ind w:firstLine="640" w:firstLineChars="200"/>
        <w:jc w:val="both"/>
        <w:textAlignment w:val="auto"/>
        <w:outlineLvl w:val="9"/>
        <w:rPr>
          <w:rFonts w:hint="eastAsia" w:ascii="Times New Roman" w:hAnsi="Times New Roman" w:cs="Times New Roman"/>
          <w:lang w:val="en-US" w:eastAsia="zh-CN"/>
        </w:rPr>
      </w:pPr>
      <w:r>
        <w:rPr>
          <w:rFonts w:hint="eastAsia" w:ascii="Times New Roman" w:hAnsi="Times New Roman" w:cs="Times New Roman"/>
          <w:lang w:val="en-US" w:eastAsia="zh-CN"/>
        </w:rPr>
        <w:t xml:space="preserve">应急处理(项) </w:t>
      </w:r>
    </w:p>
    <w:p w14:paraId="670E91C5">
      <w:pPr>
        <w:keepNext w:val="0"/>
        <w:keepLines w:val="0"/>
        <w:pageBreakBefore w:val="0"/>
        <w:widowControl w:val="0"/>
        <w:numPr>
          <w:ilvl w:val="0"/>
          <w:numId w:val="0"/>
        </w:numPr>
        <w:kinsoku/>
        <w:wordWrap/>
        <w:overflowPunct/>
        <w:topLinePunct w:val="0"/>
        <w:autoSpaceDE/>
        <w:autoSpaceDN/>
        <w:bidi w:val="0"/>
        <w:spacing w:line="360" w:lineRule="auto"/>
        <w:ind w:firstLine="640" w:firstLineChars="200"/>
        <w:jc w:val="both"/>
        <w:textAlignment w:val="auto"/>
        <w:outlineLvl w:val="9"/>
        <w:rPr>
          <w:rFonts w:hint="eastAsia" w:ascii="Times New Roman" w:hAnsi="Times New Roman" w:cs="Times New Roman"/>
          <w:lang w:val="en-US" w:eastAsia="zh-CN"/>
        </w:rPr>
      </w:pPr>
      <w:r>
        <w:rPr>
          <w:rFonts w:hint="eastAsia" w:ascii="Times New Roman" w:hAnsi="Times New Roman" w:cs="Times New Roman"/>
          <w:lang w:val="en-US" w:eastAsia="zh-CN"/>
        </w:rPr>
        <w:t xml:space="preserve">12.卫生健康支出(类)行政事业单位医疗(款)行政单位 </w:t>
      </w:r>
    </w:p>
    <w:p w14:paraId="00C34207">
      <w:pPr>
        <w:keepNext w:val="0"/>
        <w:keepLines w:val="0"/>
        <w:pageBreakBefore w:val="0"/>
        <w:widowControl w:val="0"/>
        <w:numPr>
          <w:ilvl w:val="0"/>
          <w:numId w:val="0"/>
        </w:numPr>
        <w:kinsoku/>
        <w:wordWrap/>
        <w:overflowPunct/>
        <w:topLinePunct w:val="0"/>
        <w:autoSpaceDE/>
        <w:autoSpaceDN/>
        <w:bidi w:val="0"/>
        <w:spacing w:line="360" w:lineRule="auto"/>
        <w:ind w:firstLine="640" w:firstLineChars="200"/>
        <w:jc w:val="both"/>
        <w:textAlignment w:val="auto"/>
        <w:outlineLvl w:val="9"/>
        <w:rPr>
          <w:rFonts w:hint="eastAsia" w:ascii="Times New Roman" w:hAnsi="Times New Roman" w:cs="Times New Roman"/>
          <w:lang w:val="en-US" w:eastAsia="zh-CN"/>
        </w:rPr>
      </w:pPr>
      <w:r>
        <w:rPr>
          <w:rFonts w:hint="eastAsia" w:ascii="Times New Roman" w:hAnsi="Times New Roman" w:cs="Times New Roman"/>
          <w:lang w:val="en-US" w:eastAsia="zh-CN"/>
        </w:rPr>
        <w:t xml:space="preserve">医疗(项) </w:t>
      </w:r>
    </w:p>
    <w:p w14:paraId="27A75224">
      <w:pPr>
        <w:keepNext w:val="0"/>
        <w:keepLines w:val="0"/>
        <w:pageBreakBefore w:val="0"/>
        <w:widowControl w:val="0"/>
        <w:numPr>
          <w:ilvl w:val="0"/>
          <w:numId w:val="0"/>
        </w:numPr>
        <w:kinsoku/>
        <w:wordWrap/>
        <w:overflowPunct/>
        <w:topLinePunct w:val="0"/>
        <w:autoSpaceDE/>
        <w:autoSpaceDN/>
        <w:bidi w:val="0"/>
        <w:spacing w:line="360" w:lineRule="auto"/>
        <w:ind w:firstLine="640" w:firstLineChars="200"/>
        <w:jc w:val="both"/>
        <w:textAlignment w:val="auto"/>
        <w:outlineLvl w:val="9"/>
        <w:rPr>
          <w:rFonts w:hint="eastAsia" w:ascii="Times New Roman" w:hAnsi="Times New Roman" w:cs="Times New Roman"/>
          <w:lang w:val="en-US" w:eastAsia="zh-CN"/>
        </w:rPr>
      </w:pPr>
      <w:r>
        <w:rPr>
          <w:rFonts w:hint="eastAsia" w:ascii="Times New Roman" w:hAnsi="Times New Roman" w:cs="Times New Roman"/>
          <w:lang w:val="en-US" w:eastAsia="zh-CN"/>
        </w:rPr>
        <w:t xml:space="preserve">13.节能环保支出(类)自然生态保护(款)农村环境保护 </w:t>
      </w:r>
    </w:p>
    <w:p w14:paraId="7D8B87CF">
      <w:pPr>
        <w:keepNext w:val="0"/>
        <w:keepLines w:val="0"/>
        <w:pageBreakBefore w:val="0"/>
        <w:widowControl w:val="0"/>
        <w:numPr>
          <w:ilvl w:val="0"/>
          <w:numId w:val="0"/>
        </w:numPr>
        <w:kinsoku/>
        <w:wordWrap/>
        <w:overflowPunct/>
        <w:topLinePunct w:val="0"/>
        <w:autoSpaceDE/>
        <w:autoSpaceDN/>
        <w:bidi w:val="0"/>
        <w:spacing w:line="360" w:lineRule="auto"/>
        <w:ind w:firstLine="640" w:firstLineChars="200"/>
        <w:jc w:val="both"/>
        <w:textAlignment w:val="auto"/>
        <w:outlineLvl w:val="9"/>
        <w:rPr>
          <w:rFonts w:hint="eastAsia" w:ascii="Times New Roman" w:hAnsi="Times New Roman" w:cs="Times New Roman"/>
          <w:lang w:val="en-US" w:eastAsia="zh-CN"/>
        </w:rPr>
      </w:pPr>
      <w:r>
        <w:rPr>
          <w:rFonts w:hint="eastAsia" w:ascii="Times New Roman" w:hAnsi="Times New Roman" w:cs="Times New Roman"/>
          <w:lang w:val="en-US" w:eastAsia="zh-CN"/>
        </w:rPr>
        <w:t xml:space="preserve">(项) </w:t>
      </w:r>
    </w:p>
    <w:p w14:paraId="798C4A07">
      <w:pPr>
        <w:keepNext w:val="0"/>
        <w:keepLines w:val="0"/>
        <w:pageBreakBefore w:val="0"/>
        <w:widowControl w:val="0"/>
        <w:numPr>
          <w:ilvl w:val="0"/>
          <w:numId w:val="0"/>
        </w:numPr>
        <w:kinsoku/>
        <w:wordWrap/>
        <w:overflowPunct/>
        <w:topLinePunct w:val="0"/>
        <w:autoSpaceDE/>
        <w:autoSpaceDN/>
        <w:bidi w:val="0"/>
        <w:spacing w:line="360" w:lineRule="auto"/>
        <w:ind w:firstLine="640" w:firstLineChars="200"/>
        <w:jc w:val="both"/>
        <w:textAlignment w:val="auto"/>
        <w:outlineLvl w:val="9"/>
        <w:rPr>
          <w:rFonts w:hint="eastAsia" w:ascii="Times New Roman" w:hAnsi="Times New Roman" w:cs="Times New Roman"/>
          <w:lang w:val="en-US" w:eastAsia="zh-CN"/>
        </w:rPr>
      </w:pPr>
      <w:r>
        <w:rPr>
          <w:rFonts w:hint="eastAsia" w:ascii="Times New Roman" w:hAnsi="Times New Roman" w:cs="Times New Roman"/>
          <w:lang w:val="en-US" w:eastAsia="zh-CN"/>
        </w:rPr>
        <w:t xml:space="preserve">14.城乡社区支出(类)城乡社区公共设施(款)小城镇基 </w:t>
      </w:r>
    </w:p>
    <w:p w14:paraId="55321C4B">
      <w:pPr>
        <w:keepNext w:val="0"/>
        <w:keepLines w:val="0"/>
        <w:pageBreakBefore w:val="0"/>
        <w:widowControl w:val="0"/>
        <w:numPr>
          <w:ilvl w:val="0"/>
          <w:numId w:val="0"/>
        </w:numPr>
        <w:kinsoku/>
        <w:wordWrap/>
        <w:overflowPunct/>
        <w:topLinePunct w:val="0"/>
        <w:autoSpaceDE/>
        <w:autoSpaceDN/>
        <w:bidi w:val="0"/>
        <w:spacing w:line="360" w:lineRule="auto"/>
        <w:ind w:firstLine="640" w:firstLineChars="200"/>
        <w:jc w:val="both"/>
        <w:textAlignment w:val="auto"/>
        <w:outlineLvl w:val="9"/>
        <w:rPr>
          <w:rFonts w:hint="eastAsia" w:ascii="Times New Roman" w:hAnsi="Times New Roman" w:cs="Times New Roman"/>
          <w:lang w:val="en-US" w:eastAsia="zh-CN"/>
        </w:rPr>
      </w:pPr>
      <w:r>
        <w:rPr>
          <w:rFonts w:hint="eastAsia" w:ascii="Times New Roman" w:hAnsi="Times New Roman" w:cs="Times New Roman"/>
          <w:lang w:val="en-US" w:eastAsia="zh-CN"/>
        </w:rPr>
        <w:t xml:space="preserve">础设施建设(项) </w:t>
      </w:r>
    </w:p>
    <w:p w14:paraId="1CFB8492">
      <w:pPr>
        <w:keepNext w:val="0"/>
        <w:keepLines w:val="0"/>
        <w:pageBreakBefore w:val="0"/>
        <w:widowControl w:val="0"/>
        <w:numPr>
          <w:ilvl w:val="0"/>
          <w:numId w:val="0"/>
        </w:numPr>
        <w:kinsoku/>
        <w:wordWrap/>
        <w:overflowPunct/>
        <w:topLinePunct w:val="0"/>
        <w:autoSpaceDE/>
        <w:autoSpaceDN/>
        <w:bidi w:val="0"/>
        <w:spacing w:line="360" w:lineRule="auto"/>
        <w:ind w:firstLine="640" w:firstLineChars="200"/>
        <w:jc w:val="both"/>
        <w:textAlignment w:val="auto"/>
        <w:outlineLvl w:val="9"/>
        <w:rPr>
          <w:rFonts w:hint="eastAsia" w:ascii="Times New Roman" w:hAnsi="Times New Roman" w:cs="Times New Roman"/>
          <w:lang w:val="en-US" w:eastAsia="zh-CN"/>
        </w:rPr>
      </w:pPr>
      <w:r>
        <w:rPr>
          <w:rFonts w:hint="eastAsia" w:ascii="Times New Roman" w:hAnsi="Times New Roman" w:cs="Times New Roman"/>
          <w:lang w:val="en-US" w:eastAsia="zh-CN"/>
        </w:rPr>
        <w:t xml:space="preserve">15.城乡社区支出(类)城乡社区环境卫生(款)城乡社区 </w:t>
      </w:r>
    </w:p>
    <w:p w14:paraId="325E0584">
      <w:pPr>
        <w:keepNext w:val="0"/>
        <w:keepLines w:val="0"/>
        <w:pageBreakBefore w:val="0"/>
        <w:widowControl w:val="0"/>
        <w:numPr>
          <w:ilvl w:val="0"/>
          <w:numId w:val="0"/>
        </w:numPr>
        <w:kinsoku/>
        <w:wordWrap/>
        <w:overflowPunct/>
        <w:topLinePunct w:val="0"/>
        <w:autoSpaceDE/>
        <w:autoSpaceDN/>
        <w:bidi w:val="0"/>
        <w:spacing w:line="360" w:lineRule="auto"/>
        <w:ind w:firstLine="640" w:firstLineChars="200"/>
        <w:jc w:val="both"/>
        <w:textAlignment w:val="auto"/>
        <w:outlineLvl w:val="9"/>
        <w:rPr>
          <w:rFonts w:hint="eastAsia" w:ascii="Times New Roman" w:hAnsi="Times New Roman" w:cs="Times New Roman"/>
          <w:lang w:val="en-US" w:eastAsia="zh-CN"/>
        </w:rPr>
      </w:pPr>
      <w:r>
        <w:rPr>
          <w:rFonts w:hint="eastAsia" w:ascii="Times New Roman" w:hAnsi="Times New Roman" w:cs="Times New Roman"/>
          <w:lang w:val="en-US" w:eastAsia="zh-CN"/>
        </w:rPr>
        <w:t xml:space="preserve">环境卫生(项) </w:t>
      </w:r>
    </w:p>
    <w:p w14:paraId="4BAFE8BC">
      <w:pPr>
        <w:keepNext w:val="0"/>
        <w:keepLines w:val="0"/>
        <w:pageBreakBefore w:val="0"/>
        <w:widowControl w:val="0"/>
        <w:numPr>
          <w:ilvl w:val="0"/>
          <w:numId w:val="0"/>
        </w:numPr>
        <w:kinsoku/>
        <w:wordWrap/>
        <w:overflowPunct/>
        <w:topLinePunct w:val="0"/>
        <w:autoSpaceDE/>
        <w:autoSpaceDN/>
        <w:bidi w:val="0"/>
        <w:spacing w:line="360" w:lineRule="auto"/>
        <w:ind w:firstLine="640" w:firstLineChars="200"/>
        <w:jc w:val="both"/>
        <w:textAlignment w:val="auto"/>
        <w:outlineLvl w:val="9"/>
        <w:rPr>
          <w:rFonts w:hint="eastAsia" w:ascii="Times New Roman" w:hAnsi="Times New Roman" w:cs="Times New Roman"/>
          <w:lang w:val="en-US" w:eastAsia="zh-CN"/>
        </w:rPr>
      </w:pPr>
      <w:r>
        <w:rPr>
          <w:rFonts w:hint="eastAsia" w:ascii="Times New Roman" w:hAnsi="Times New Roman" w:cs="Times New Roman"/>
          <w:lang w:val="en-US" w:eastAsia="zh-CN"/>
        </w:rPr>
        <w:t xml:space="preserve">16.城乡社区支出(类)国有土地使用权出让收入安排的 </w:t>
      </w:r>
    </w:p>
    <w:p w14:paraId="352B98A6">
      <w:pPr>
        <w:keepNext w:val="0"/>
        <w:keepLines w:val="0"/>
        <w:pageBreakBefore w:val="0"/>
        <w:widowControl w:val="0"/>
        <w:numPr>
          <w:ilvl w:val="0"/>
          <w:numId w:val="0"/>
        </w:numPr>
        <w:kinsoku/>
        <w:wordWrap/>
        <w:overflowPunct/>
        <w:topLinePunct w:val="0"/>
        <w:autoSpaceDE/>
        <w:autoSpaceDN/>
        <w:bidi w:val="0"/>
        <w:spacing w:line="360" w:lineRule="auto"/>
        <w:ind w:firstLine="640" w:firstLineChars="200"/>
        <w:jc w:val="both"/>
        <w:textAlignment w:val="auto"/>
        <w:outlineLvl w:val="9"/>
        <w:rPr>
          <w:rFonts w:hint="eastAsia" w:ascii="Times New Roman" w:hAnsi="Times New Roman" w:cs="Times New Roman"/>
          <w:lang w:val="en-US" w:eastAsia="zh-CN"/>
        </w:rPr>
      </w:pPr>
      <w:r>
        <w:rPr>
          <w:rFonts w:hint="eastAsia" w:ascii="Times New Roman" w:hAnsi="Times New Roman" w:cs="Times New Roman"/>
          <w:lang w:val="en-US" w:eastAsia="zh-CN"/>
        </w:rPr>
        <w:t xml:space="preserve">支出(款)土地开发支出(项) </w:t>
      </w:r>
    </w:p>
    <w:p w14:paraId="46E6D2D1">
      <w:pPr>
        <w:keepNext w:val="0"/>
        <w:keepLines w:val="0"/>
        <w:pageBreakBefore w:val="0"/>
        <w:widowControl w:val="0"/>
        <w:numPr>
          <w:ilvl w:val="0"/>
          <w:numId w:val="0"/>
        </w:numPr>
        <w:kinsoku/>
        <w:wordWrap/>
        <w:overflowPunct/>
        <w:topLinePunct w:val="0"/>
        <w:autoSpaceDE/>
        <w:autoSpaceDN/>
        <w:bidi w:val="0"/>
        <w:spacing w:line="360" w:lineRule="auto"/>
        <w:ind w:firstLine="640" w:firstLineChars="200"/>
        <w:jc w:val="both"/>
        <w:textAlignment w:val="auto"/>
        <w:outlineLvl w:val="9"/>
        <w:rPr>
          <w:rFonts w:hint="eastAsia" w:ascii="Times New Roman" w:hAnsi="Times New Roman" w:cs="Times New Roman"/>
          <w:lang w:val="en-US" w:eastAsia="zh-CN"/>
        </w:rPr>
      </w:pPr>
      <w:r>
        <w:rPr>
          <w:rFonts w:hint="eastAsia" w:ascii="Times New Roman" w:hAnsi="Times New Roman" w:cs="Times New Roman"/>
          <w:lang w:val="en-US" w:eastAsia="zh-CN"/>
        </w:rPr>
        <w:t xml:space="preserve">17.城乡社区支出(类)国有土地使用权出让收入安排的 </w:t>
      </w:r>
    </w:p>
    <w:p w14:paraId="07C4898E">
      <w:pPr>
        <w:keepNext w:val="0"/>
        <w:keepLines w:val="0"/>
        <w:pageBreakBefore w:val="0"/>
        <w:widowControl w:val="0"/>
        <w:numPr>
          <w:ilvl w:val="0"/>
          <w:numId w:val="0"/>
        </w:numPr>
        <w:kinsoku/>
        <w:wordWrap/>
        <w:overflowPunct/>
        <w:topLinePunct w:val="0"/>
        <w:autoSpaceDE/>
        <w:autoSpaceDN/>
        <w:bidi w:val="0"/>
        <w:spacing w:line="360" w:lineRule="auto"/>
        <w:ind w:firstLine="640" w:firstLineChars="200"/>
        <w:jc w:val="both"/>
        <w:textAlignment w:val="auto"/>
        <w:outlineLvl w:val="9"/>
        <w:rPr>
          <w:rFonts w:hint="eastAsia" w:ascii="Times New Roman" w:hAnsi="Times New Roman" w:cs="Times New Roman"/>
          <w:lang w:val="en-US" w:eastAsia="zh-CN"/>
        </w:rPr>
      </w:pPr>
      <w:r>
        <w:rPr>
          <w:rFonts w:hint="default" w:ascii="Times New Roman" w:hAnsi="Times New Roman" w:cs="Times New Roman"/>
          <w:lang w:val="en-US" w:eastAsia="zh-CN"/>
        </w:rPr>
        <w:t>31</w:t>
      </w:r>
      <w:r>
        <w:rPr>
          <w:rFonts w:hint="eastAsia" w:ascii="Times New Roman" w:hAnsi="Times New Roman" w:cs="Times New Roman"/>
          <w:lang w:val="en-US" w:eastAsia="zh-CN"/>
        </w:rPr>
        <w:t xml:space="preserve">支出(款)补助被征地农民支出(项) </w:t>
      </w:r>
    </w:p>
    <w:p w14:paraId="57637092">
      <w:pPr>
        <w:keepNext w:val="0"/>
        <w:keepLines w:val="0"/>
        <w:pageBreakBefore w:val="0"/>
        <w:widowControl w:val="0"/>
        <w:numPr>
          <w:ilvl w:val="0"/>
          <w:numId w:val="0"/>
        </w:numPr>
        <w:kinsoku/>
        <w:wordWrap/>
        <w:overflowPunct/>
        <w:topLinePunct w:val="0"/>
        <w:autoSpaceDE/>
        <w:autoSpaceDN/>
        <w:bidi w:val="0"/>
        <w:spacing w:line="360" w:lineRule="auto"/>
        <w:ind w:firstLine="640" w:firstLineChars="200"/>
        <w:jc w:val="both"/>
        <w:textAlignment w:val="auto"/>
        <w:outlineLvl w:val="9"/>
        <w:rPr>
          <w:rFonts w:hint="eastAsia" w:ascii="Times New Roman" w:hAnsi="Times New Roman" w:cs="Times New Roman"/>
          <w:lang w:val="en-US" w:eastAsia="zh-CN"/>
        </w:rPr>
      </w:pPr>
      <w:r>
        <w:rPr>
          <w:rFonts w:hint="eastAsia" w:ascii="Times New Roman" w:hAnsi="Times New Roman" w:cs="Times New Roman"/>
          <w:lang w:val="en-US" w:eastAsia="zh-CN"/>
        </w:rPr>
        <w:t xml:space="preserve">18.农林水支出(类)农业农村(款)科技转化与推广服务 </w:t>
      </w:r>
    </w:p>
    <w:p w14:paraId="06EBE6A5">
      <w:pPr>
        <w:keepNext w:val="0"/>
        <w:keepLines w:val="0"/>
        <w:pageBreakBefore w:val="0"/>
        <w:widowControl w:val="0"/>
        <w:numPr>
          <w:ilvl w:val="0"/>
          <w:numId w:val="0"/>
        </w:numPr>
        <w:kinsoku/>
        <w:wordWrap/>
        <w:overflowPunct/>
        <w:topLinePunct w:val="0"/>
        <w:autoSpaceDE/>
        <w:autoSpaceDN/>
        <w:bidi w:val="0"/>
        <w:spacing w:line="360" w:lineRule="auto"/>
        <w:ind w:firstLine="640" w:firstLineChars="200"/>
        <w:jc w:val="both"/>
        <w:textAlignment w:val="auto"/>
        <w:outlineLvl w:val="9"/>
        <w:rPr>
          <w:rFonts w:hint="eastAsia" w:ascii="Times New Roman" w:hAnsi="Times New Roman" w:cs="Times New Roman"/>
          <w:lang w:val="en-US" w:eastAsia="zh-CN"/>
        </w:rPr>
      </w:pPr>
      <w:r>
        <w:rPr>
          <w:rFonts w:hint="eastAsia" w:ascii="Times New Roman" w:hAnsi="Times New Roman" w:cs="Times New Roman"/>
          <w:lang w:val="en-US" w:eastAsia="zh-CN"/>
        </w:rPr>
        <w:t xml:space="preserve">(项) </w:t>
      </w:r>
    </w:p>
    <w:p w14:paraId="6EEA1F86">
      <w:pPr>
        <w:keepNext w:val="0"/>
        <w:keepLines w:val="0"/>
        <w:pageBreakBefore w:val="0"/>
        <w:widowControl w:val="0"/>
        <w:numPr>
          <w:ilvl w:val="0"/>
          <w:numId w:val="0"/>
        </w:numPr>
        <w:kinsoku/>
        <w:wordWrap/>
        <w:overflowPunct/>
        <w:topLinePunct w:val="0"/>
        <w:autoSpaceDE/>
        <w:autoSpaceDN/>
        <w:bidi w:val="0"/>
        <w:spacing w:line="360" w:lineRule="auto"/>
        <w:ind w:firstLine="640" w:firstLineChars="200"/>
        <w:jc w:val="both"/>
        <w:textAlignment w:val="auto"/>
        <w:outlineLvl w:val="9"/>
        <w:rPr>
          <w:rFonts w:hint="eastAsia" w:ascii="Times New Roman" w:hAnsi="Times New Roman" w:cs="Times New Roman"/>
          <w:lang w:val="en-US" w:eastAsia="zh-CN"/>
        </w:rPr>
      </w:pPr>
      <w:r>
        <w:rPr>
          <w:rFonts w:hint="eastAsia" w:ascii="Times New Roman" w:hAnsi="Times New Roman" w:cs="Times New Roman"/>
          <w:lang w:val="en-US" w:eastAsia="zh-CN"/>
        </w:rPr>
        <w:t xml:space="preserve">19.农林水支出(类)农业农村(款)对高校毕业生到基层 </w:t>
      </w:r>
    </w:p>
    <w:p w14:paraId="4FAF9E58">
      <w:pPr>
        <w:keepNext w:val="0"/>
        <w:keepLines w:val="0"/>
        <w:pageBreakBefore w:val="0"/>
        <w:widowControl w:val="0"/>
        <w:numPr>
          <w:ilvl w:val="0"/>
          <w:numId w:val="0"/>
        </w:numPr>
        <w:kinsoku/>
        <w:wordWrap/>
        <w:overflowPunct/>
        <w:topLinePunct w:val="0"/>
        <w:autoSpaceDE/>
        <w:autoSpaceDN/>
        <w:bidi w:val="0"/>
        <w:spacing w:line="360" w:lineRule="auto"/>
        <w:ind w:firstLine="640" w:firstLineChars="200"/>
        <w:jc w:val="both"/>
        <w:textAlignment w:val="auto"/>
        <w:outlineLvl w:val="9"/>
        <w:rPr>
          <w:rFonts w:hint="eastAsia" w:ascii="Times New Roman" w:hAnsi="Times New Roman" w:cs="Times New Roman"/>
          <w:lang w:val="en-US" w:eastAsia="zh-CN"/>
        </w:rPr>
      </w:pPr>
      <w:r>
        <w:rPr>
          <w:rFonts w:hint="eastAsia" w:ascii="Times New Roman" w:hAnsi="Times New Roman" w:cs="Times New Roman"/>
          <w:lang w:val="en-US" w:eastAsia="zh-CN"/>
        </w:rPr>
        <w:t xml:space="preserve">任职补助(项) </w:t>
      </w:r>
    </w:p>
    <w:p w14:paraId="3B38C18C">
      <w:pPr>
        <w:keepNext w:val="0"/>
        <w:keepLines w:val="0"/>
        <w:pageBreakBefore w:val="0"/>
        <w:widowControl w:val="0"/>
        <w:numPr>
          <w:ilvl w:val="0"/>
          <w:numId w:val="0"/>
        </w:numPr>
        <w:kinsoku/>
        <w:wordWrap/>
        <w:overflowPunct/>
        <w:topLinePunct w:val="0"/>
        <w:autoSpaceDE/>
        <w:autoSpaceDN/>
        <w:bidi w:val="0"/>
        <w:spacing w:line="360" w:lineRule="auto"/>
        <w:ind w:firstLine="640" w:firstLineChars="200"/>
        <w:jc w:val="both"/>
        <w:textAlignment w:val="auto"/>
        <w:outlineLvl w:val="9"/>
        <w:rPr>
          <w:rFonts w:hint="eastAsia" w:ascii="Times New Roman" w:hAnsi="Times New Roman" w:cs="Times New Roman"/>
          <w:lang w:val="en-US" w:eastAsia="zh-CN"/>
        </w:rPr>
      </w:pPr>
      <w:r>
        <w:rPr>
          <w:rFonts w:hint="eastAsia" w:ascii="Times New Roman" w:hAnsi="Times New Roman" w:cs="Times New Roman"/>
          <w:lang w:val="en-US" w:eastAsia="zh-CN"/>
        </w:rPr>
        <w:t xml:space="preserve">20.农林水支出(类)林业和草原(款)森林资源培育(项) </w:t>
      </w:r>
    </w:p>
    <w:p w14:paraId="2C20FC23">
      <w:pPr>
        <w:keepNext w:val="0"/>
        <w:keepLines w:val="0"/>
        <w:pageBreakBefore w:val="0"/>
        <w:widowControl w:val="0"/>
        <w:numPr>
          <w:ilvl w:val="0"/>
          <w:numId w:val="0"/>
        </w:numPr>
        <w:kinsoku/>
        <w:wordWrap/>
        <w:overflowPunct/>
        <w:topLinePunct w:val="0"/>
        <w:autoSpaceDE/>
        <w:autoSpaceDN/>
        <w:bidi w:val="0"/>
        <w:spacing w:line="360" w:lineRule="auto"/>
        <w:ind w:firstLine="640" w:firstLineChars="200"/>
        <w:jc w:val="both"/>
        <w:textAlignment w:val="auto"/>
        <w:outlineLvl w:val="9"/>
        <w:rPr>
          <w:rFonts w:hint="eastAsia" w:ascii="Times New Roman" w:hAnsi="Times New Roman" w:cs="Times New Roman"/>
          <w:lang w:val="en-US" w:eastAsia="zh-CN"/>
        </w:rPr>
      </w:pPr>
      <w:r>
        <w:rPr>
          <w:rFonts w:hint="eastAsia" w:ascii="Times New Roman" w:hAnsi="Times New Roman" w:cs="Times New Roman"/>
          <w:lang w:val="en-US" w:eastAsia="zh-CN"/>
        </w:rPr>
        <w:t xml:space="preserve">21.农林水支出(类)水利(款)抗旱(项) </w:t>
      </w:r>
    </w:p>
    <w:p w14:paraId="7D9AB4FD">
      <w:pPr>
        <w:keepNext w:val="0"/>
        <w:keepLines w:val="0"/>
        <w:pageBreakBefore w:val="0"/>
        <w:widowControl w:val="0"/>
        <w:numPr>
          <w:ilvl w:val="0"/>
          <w:numId w:val="0"/>
        </w:numPr>
        <w:kinsoku/>
        <w:wordWrap/>
        <w:overflowPunct/>
        <w:topLinePunct w:val="0"/>
        <w:autoSpaceDE/>
        <w:autoSpaceDN/>
        <w:bidi w:val="0"/>
        <w:spacing w:line="360" w:lineRule="auto"/>
        <w:ind w:firstLine="640" w:firstLineChars="200"/>
        <w:jc w:val="both"/>
        <w:textAlignment w:val="auto"/>
        <w:outlineLvl w:val="9"/>
        <w:rPr>
          <w:rFonts w:hint="eastAsia" w:ascii="Times New Roman" w:hAnsi="Times New Roman" w:cs="Times New Roman"/>
          <w:lang w:val="en-US" w:eastAsia="zh-CN"/>
        </w:rPr>
      </w:pPr>
      <w:r>
        <w:rPr>
          <w:rFonts w:hint="eastAsia" w:ascii="Times New Roman" w:hAnsi="Times New Roman" w:cs="Times New Roman"/>
          <w:lang w:val="en-US" w:eastAsia="zh-CN"/>
        </w:rPr>
        <w:t xml:space="preserve">22.农林水支出(类)水利(款)江河湖库水系综合整治 </w:t>
      </w:r>
    </w:p>
    <w:p w14:paraId="24ACC7F2">
      <w:pPr>
        <w:keepNext w:val="0"/>
        <w:keepLines w:val="0"/>
        <w:pageBreakBefore w:val="0"/>
        <w:widowControl w:val="0"/>
        <w:numPr>
          <w:ilvl w:val="0"/>
          <w:numId w:val="0"/>
        </w:numPr>
        <w:kinsoku/>
        <w:wordWrap/>
        <w:overflowPunct/>
        <w:topLinePunct w:val="0"/>
        <w:autoSpaceDE/>
        <w:autoSpaceDN/>
        <w:bidi w:val="0"/>
        <w:spacing w:line="360" w:lineRule="auto"/>
        <w:ind w:firstLine="640" w:firstLineChars="200"/>
        <w:jc w:val="both"/>
        <w:textAlignment w:val="auto"/>
        <w:outlineLvl w:val="9"/>
        <w:rPr>
          <w:rFonts w:hint="eastAsia" w:ascii="Times New Roman" w:hAnsi="Times New Roman" w:cs="Times New Roman"/>
          <w:lang w:val="en-US" w:eastAsia="zh-CN"/>
        </w:rPr>
      </w:pPr>
      <w:r>
        <w:rPr>
          <w:rFonts w:hint="eastAsia" w:ascii="Times New Roman" w:hAnsi="Times New Roman" w:cs="Times New Roman"/>
          <w:lang w:val="en-US" w:eastAsia="zh-CN"/>
        </w:rPr>
        <w:t xml:space="preserve">(项) </w:t>
      </w:r>
    </w:p>
    <w:p w14:paraId="4EEBD2B1">
      <w:pPr>
        <w:keepNext w:val="0"/>
        <w:keepLines w:val="0"/>
        <w:pageBreakBefore w:val="0"/>
        <w:widowControl w:val="0"/>
        <w:numPr>
          <w:ilvl w:val="0"/>
          <w:numId w:val="0"/>
        </w:numPr>
        <w:kinsoku/>
        <w:wordWrap/>
        <w:overflowPunct/>
        <w:topLinePunct w:val="0"/>
        <w:autoSpaceDE/>
        <w:autoSpaceDN/>
        <w:bidi w:val="0"/>
        <w:spacing w:line="360" w:lineRule="auto"/>
        <w:ind w:firstLine="640" w:firstLineChars="200"/>
        <w:jc w:val="both"/>
        <w:textAlignment w:val="auto"/>
        <w:outlineLvl w:val="9"/>
        <w:rPr>
          <w:rFonts w:hint="eastAsia" w:ascii="Times New Roman" w:hAnsi="Times New Roman" w:cs="Times New Roman"/>
          <w:lang w:val="en-US" w:eastAsia="zh-CN"/>
        </w:rPr>
      </w:pPr>
      <w:r>
        <w:rPr>
          <w:rFonts w:hint="eastAsia" w:ascii="Times New Roman" w:hAnsi="Times New Roman" w:cs="Times New Roman"/>
          <w:lang w:val="en-US" w:eastAsia="zh-CN"/>
        </w:rPr>
        <w:t xml:space="preserve">23.农林水支出(类)农村综合改革(款）对村民委员会和 </w:t>
      </w:r>
    </w:p>
    <w:p w14:paraId="316E9E75">
      <w:pPr>
        <w:keepNext w:val="0"/>
        <w:keepLines w:val="0"/>
        <w:pageBreakBefore w:val="0"/>
        <w:widowControl w:val="0"/>
        <w:numPr>
          <w:ilvl w:val="0"/>
          <w:numId w:val="0"/>
        </w:numPr>
        <w:kinsoku/>
        <w:wordWrap/>
        <w:overflowPunct/>
        <w:topLinePunct w:val="0"/>
        <w:autoSpaceDE/>
        <w:autoSpaceDN/>
        <w:bidi w:val="0"/>
        <w:spacing w:line="360" w:lineRule="auto"/>
        <w:ind w:firstLine="640" w:firstLineChars="200"/>
        <w:jc w:val="both"/>
        <w:textAlignment w:val="auto"/>
        <w:outlineLvl w:val="9"/>
        <w:rPr>
          <w:rFonts w:hint="eastAsia" w:ascii="Times New Roman" w:hAnsi="Times New Roman" w:cs="Times New Roman"/>
          <w:lang w:val="en-US" w:eastAsia="zh-CN"/>
        </w:rPr>
      </w:pPr>
      <w:r>
        <w:rPr>
          <w:rFonts w:hint="eastAsia" w:ascii="Times New Roman" w:hAnsi="Times New Roman" w:cs="Times New Roman"/>
          <w:lang w:val="en-US" w:eastAsia="zh-CN"/>
        </w:rPr>
        <w:t xml:space="preserve">村党支部的补助(项) </w:t>
      </w:r>
    </w:p>
    <w:p w14:paraId="15FD4311">
      <w:pPr>
        <w:keepNext w:val="0"/>
        <w:keepLines w:val="0"/>
        <w:pageBreakBefore w:val="0"/>
        <w:widowControl w:val="0"/>
        <w:numPr>
          <w:ilvl w:val="0"/>
          <w:numId w:val="0"/>
        </w:numPr>
        <w:kinsoku/>
        <w:wordWrap/>
        <w:overflowPunct/>
        <w:topLinePunct w:val="0"/>
        <w:autoSpaceDE/>
        <w:autoSpaceDN/>
        <w:bidi w:val="0"/>
        <w:spacing w:line="360" w:lineRule="auto"/>
        <w:ind w:firstLine="640" w:firstLineChars="200"/>
        <w:jc w:val="both"/>
        <w:textAlignment w:val="auto"/>
        <w:outlineLvl w:val="9"/>
        <w:rPr>
          <w:rFonts w:hint="eastAsia" w:ascii="Times New Roman" w:hAnsi="Times New Roman" w:cs="Times New Roman"/>
          <w:lang w:val="en-US" w:eastAsia="zh-CN"/>
        </w:rPr>
      </w:pPr>
      <w:r>
        <w:rPr>
          <w:rFonts w:hint="eastAsia" w:ascii="Times New Roman" w:hAnsi="Times New Roman" w:cs="Times New Roman"/>
          <w:lang w:val="en-US" w:eastAsia="zh-CN"/>
        </w:rPr>
        <w:t xml:space="preserve">24.农林水支出(类)农村综合改革(款）其他农村综合改 </w:t>
      </w:r>
    </w:p>
    <w:p w14:paraId="6712CC90">
      <w:pPr>
        <w:keepNext w:val="0"/>
        <w:keepLines w:val="0"/>
        <w:pageBreakBefore w:val="0"/>
        <w:widowControl w:val="0"/>
        <w:numPr>
          <w:ilvl w:val="0"/>
          <w:numId w:val="0"/>
        </w:numPr>
        <w:kinsoku/>
        <w:wordWrap/>
        <w:overflowPunct/>
        <w:topLinePunct w:val="0"/>
        <w:autoSpaceDE/>
        <w:autoSpaceDN/>
        <w:bidi w:val="0"/>
        <w:spacing w:line="360" w:lineRule="auto"/>
        <w:ind w:firstLine="640" w:firstLineChars="200"/>
        <w:jc w:val="both"/>
        <w:textAlignment w:val="auto"/>
        <w:outlineLvl w:val="9"/>
        <w:rPr>
          <w:rFonts w:hint="eastAsia" w:ascii="Times New Roman" w:hAnsi="Times New Roman" w:cs="Times New Roman"/>
          <w:lang w:val="en-US" w:eastAsia="zh-CN"/>
        </w:rPr>
      </w:pPr>
      <w:r>
        <w:rPr>
          <w:rFonts w:hint="eastAsia" w:ascii="Times New Roman" w:hAnsi="Times New Roman" w:cs="Times New Roman"/>
          <w:lang w:val="en-US" w:eastAsia="zh-CN"/>
        </w:rPr>
        <w:t xml:space="preserve">革支出(项) </w:t>
      </w:r>
    </w:p>
    <w:p w14:paraId="51ADBF3F">
      <w:pPr>
        <w:keepNext w:val="0"/>
        <w:keepLines w:val="0"/>
        <w:pageBreakBefore w:val="0"/>
        <w:widowControl w:val="0"/>
        <w:numPr>
          <w:ilvl w:val="0"/>
          <w:numId w:val="0"/>
        </w:numPr>
        <w:kinsoku/>
        <w:wordWrap/>
        <w:overflowPunct/>
        <w:topLinePunct w:val="0"/>
        <w:autoSpaceDE/>
        <w:autoSpaceDN/>
        <w:bidi w:val="0"/>
        <w:spacing w:line="360" w:lineRule="auto"/>
        <w:ind w:firstLine="640" w:firstLineChars="200"/>
        <w:jc w:val="both"/>
        <w:textAlignment w:val="auto"/>
        <w:outlineLvl w:val="9"/>
        <w:rPr>
          <w:rFonts w:hint="eastAsia" w:ascii="Times New Roman" w:hAnsi="Times New Roman" w:cs="Times New Roman"/>
          <w:lang w:val="en-US" w:eastAsia="zh-CN"/>
        </w:rPr>
      </w:pPr>
      <w:r>
        <w:rPr>
          <w:rFonts w:hint="eastAsia" w:ascii="Times New Roman" w:hAnsi="Times New Roman" w:cs="Times New Roman"/>
          <w:lang w:val="en-US" w:eastAsia="zh-CN"/>
        </w:rPr>
        <w:t xml:space="preserve">25.住房保障支出(类)住房改革支出(款）住房公积金 </w:t>
      </w:r>
    </w:p>
    <w:p w14:paraId="7518E596">
      <w:pPr>
        <w:keepNext w:val="0"/>
        <w:keepLines w:val="0"/>
        <w:pageBreakBefore w:val="0"/>
        <w:widowControl w:val="0"/>
        <w:numPr>
          <w:ilvl w:val="0"/>
          <w:numId w:val="0"/>
        </w:numPr>
        <w:kinsoku/>
        <w:wordWrap/>
        <w:overflowPunct/>
        <w:topLinePunct w:val="0"/>
        <w:autoSpaceDE/>
        <w:autoSpaceDN/>
        <w:bidi w:val="0"/>
        <w:spacing w:line="360" w:lineRule="auto"/>
        <w:ind w:firstLine="640" w:firstLineChars="200"/>
        <w:jc w:val="both"/>
        <w:textAlignment w:val="auto"/>
        <w:outlineLvl w:val="9"/>
        <w:rPr>
          <w:rFonts w:hint="eastAsia" w:ascii="Times New Roman" w:hAnsi="Times New Roman" w:cs="Times New Roman"/>
          <w:lang w:val="en-US" w:eastAsia="zh-CN"/>
        </w:rPr>
      </w:pPr>
      <w:r>
        <w:rPr>
          <w:rFonts w:hint="eastAsia" w:ascii="Times New Roman" w:hAnsi="Times New Roman" w:cs="Times New Roman"/>
          <w:lang w:val="en-US" w:eastAsia="zh-CN"/>
        </w:rPr>
        <w:t xml:space="preserve">(项) </w:t>
      </w:r>
    </w:p>
    <w:p w14:paraId="08167E5B">
      <w:pPr>
        <w:keepNext w:val="0"/>
        <w:keepLines w:val="0"/>
        <w:pageBreakBefore w:val="0"/>
        <w:widowControl w:val="0"/>
        <w:numPr>
          <w:ilvl w:val="0"/>
          <w:numId w:val="0"/>
        </w:numPr>
        <w:kinsoku/>
        <w:wordWrap/>
        <w:overflowPunct/>
        <w:topLinePunct w:val="0"/>
        <w:autoSpaceDE/>
        <w:autoSpaceDN/>
        <w:bidi w:val="0"/>
        <w:spacing w:line="360" w:lineRule="auto"/>
        <w:ind w:firstLine="640" w:firstLineChars="200"/>
        <w:jc w:val="both"/>
        <w:textAlignment w:val="auto"/>
        <w:outlineLvl w:val="9"/>
        <w:rPr>
          <w:rFonts w:hint="eastAsia" w:ascii="Times New Roman" w:hAnsi="Times New Roman" w:cs="Times New Roman"/>
          <w:lang w:val="en-US" w:eastAsia="zh-CN"/>
        </w:rPr>
      </w:pPr>
      <w:r>
        <w:rPr>
          <w:rFonts w:hint="eastAsia" w:ascii="Times New Roman" w:hAnsi="Times New Roman" w:cs="Times New Roman"/>
          <w:lang w:val="en-US" w:eastAsia="zh-CN"/>
        </w:rPr>
        <w:t xml:space="preserve">26.国有资本经营预算支出(类)解决历史遗留问题及改 </w:t>
      </w:r>
    </w:p>
    <w:p w14:paraId="51DA8B5E">
      <w:pPr>
        <w:keepNext w:val="0"/>
        <w:keepLines w:val="0"/>
        <w:pageBreakBefore w:val="0"/>
        <w:widowControl w:val="0"/>
        <w:numPr>
          <w:ilvl w:val="0"/>
          <w:numId w:val="0"/>
        </w:numPr>
        <w:kinsoku/>
        <w:wordWrap/>
        <w:overflowPunct/>
        <w:topLinePunct w:val="0"/>
        <w:autoSpaceDE/>
        <w:autoSpaceDN/>
        <w:bidi w:val="0"/>
        <w:spacing w:line="360" w:lineRule="auto"/>
        <w:ind w:firstLine="640" w:firstLineChars="200"/>
        <w:jc w:val="both"/>
        <w:textAlignment w:val="auto"/>
        <w:outlineLvl w:val="9"/>
        <w:rPr>
          <w:rFonts w:hint="eastAsia" w:ascii="Times New Roman" w:hAnsi="Times New Roman" w:cs="Times New Roman"/>
          <w:lang w:val="en-US" w:eastAsia="zh-CN"/>
        </w:rPr>
      </w:pPr>
      <w:r>
        <w:rPr>
          <w:rFonts w:hint="eastAsia" w:ascii="Times New Roman" w:hAnsi="Times New Roman" w:cs="Times New Roman"/>
          <w:lang w:val="en-US" w:eastAsia="zh-CN"/>
        </w:rPr>
        <w:t xml:space="preserve">革成本支出(款）国有企业退休人员社会化管理补助支出 </w:t>
      </w:r>
    </w:p>
    <w:p w14:paraId="0CD3E0AD">
      <w:pPr>
        <w:keepNext w:val="0"/>
        <w:keepLines w:val="0"/>
        <w:pageBreakBefore w:val="0"/>
        <w:widowControl w:val="0"/>
        <w:numPr>
          <w:ilvl w:val="0"/>
          <w:numId w:val="0"/>
        </w:numPr>
        <w:kinsoku/>
        <w:wordWrap/>
        <w:overflowPunct/>
        <w:topLinePunct w:val="0"/>
        <w:autoSpaceDE/>
        <w:autoSpaceDN/>
        <w:bidi w:val="0"/>
        <w:spacing w:line="360" w:lineRule="auto"/>
        <w:ind w:firstLine="640" w:firstLineChars="200"/>
        <w:jc w:val="both"/>
        <w:textAlignment w:val="auto"/>
        <w:outlineLvl w:val="9"/>
        <w:rPr>
          <w:rFonts w:hint="eastAsia" w:ascii="Times New Roman" w:hAnsi="Times New Roman" w:cs="Times New Roman"/>
          <w:lang w:val="en-US" w:eastAsia="zh-CN"/>
        </w:rPr>
      </w:pPr>
      <w:r>
        <w:rPr>
          <w:rFonts w:hint="eastAsia" w:ascii="Times New Roman" w:hAnsi="Times New Roman" w:cs="Times New Roman"/>
          <w:lang w:val="en-US" w:eastAsia="zh-CN"/>
        </w:rPr>
        <w:t>(项)</w:t>
      </w:r>
    </w:p>
    <w:p w14:paraId="4708E45A">
      <w:pPr>
        <w:pageBreakBefore w:val="0"/>
        <w:widowControl w:val="0"/>
        <w:kinsoku/>
        <w:wordWrap/>
        <w:overflowPunct/>
        <w:topLinePunct w:val="0"/>
        <w:bidi w:val="0"/>
        <w:adjustRightInd w:val="0"/>
        <w:snapToGrid w:val="0"/>
        <w:spacing w:line="360" w:lineRule="auto"/>
        <w:ind w:firstLine="640" w:firstLineChars="200"/>
        <w:textAlignment w:val="auto"/>
        <w:rPr>
          <w:rFonts w:hint="eastAsia" w:ascii="仿宋_GB2312" w:eastAsia="仿宋_GB2312"/>
          <w:bCs/>
          <w:kern w:val="44"/>
          <w:sz w:val="32"/>
          <w:szCs w:val="32"/>
          <w:highlight w:val="none"/>
        </w:rPr>
      </w:pPr>
    </w:p>
    <w:p w14:paraId="0D786DB3">
      <w:pPr>
        <w:keepNext w:val="0"/>
        <w:keepLines w:val="0"/>
        <w:pageBreakBefore w:val="0"/>
        <w:widowControl w:val="0"/>
        <w:numPr>
          <w:ilvl w:val="0"/>
          <w:numId w:val="0"/>
        </w:numPr>
        <w:kinsoku/>
        <w:wordWrap/>
        <w:overflowPunct/>
        <w:topLinePunct w:val="0"/>
        <w:autoSpaceDE/>
        <w:autoSpaceDN/>
        <w:bidi w:val="0"/>
        <w:spacing w:line="360" w:lineRule="auto"/>
        <w:ind w:firstLine="640" w:firstLineChars="200"/>
        <w:jc w:val="both"/>
        <w:textAlignment w:val="auto"/>
        <w:outlineLvl w:val="9"/>
        <w:rPr>
          <w:rFonts w:hint="eastAsia" w:ascii="Times New Roman" w:hAnsi="Times New Roman" w:cs="Times New Roman"/>
          <w:lang w:val="en-US" w:eastAsia="zh-CN"/>
        </w:rPr>
      </w:pPr>
      <w:r>
        <w:rPr>
          <w:rFonts w:hint="eastAsia" w:ascii="Times New Roman" w:hAnsi="Times New Roman" w:cs="Times New Roman"/>
          <w:lang w:val="en-US" w:eastAsia="zh-CN"/>
        </w:rPr>
        <w:t>(十一)结余分配：指事业单位按照会计制度规定缴纳的企业所得税、提取的专用结余以及转入非财政拨款结余的金额等。</w:t>
      </w:r>
    </w:p>
    <w:p w14:paraId="63A383C5">
      <w:pPr>
        <w:keepNext w:val="0"/>
        <w:keepLines w:val="0"/>
        <w:pageBreakBefore w:val="0"/>
        <w:widowControl w:val="0"/>
        <w:numPr>
          <w:ilvl w:val="0"/>
          <w:numId w:val="0"/>
        </w:numPr>
        <w:kinsoku/>
        <w:wordWrap/>
        <w:overflowPunct/>
        <w:topLinePunct w:val="0"/>
        <w:autoSpaceDE/>
        <w:autoSpaceDN/>
        <w:bidi w:val="0"/>
        <w:spacing w:line="360" w:lineRule="auto"/>
        <w:ind w:firstLine="640" w:firstLineChars="200"/>
        <w:jc w:val="both"/>
        <w:textAlignment w:val="auto"/>
        <w:outlineLvl w:val="9"/>
        <w:rPr>
          <w:rFonts w:hint="eastAsia" w:ascii="Times New Roman" w:hAnsi="Times New Roman" w:cs="Times New Roman"/>
          <w:lang w:val="en-US" w:eastAsia="zh-CN"/>
        </w:rPr>
      </w:pPr>
      <w:r>
        <w:rPr>
          <w:rFonts w:hint="eastAsia" w:ascii="Times New Roman" w:hAnsi="Times New Roman" w:cs="Times New Roman"/>
          <w:lang w:val="en-US" w:eastAsia="zh-CN"/>
        </w:rPr>
        <w:t>(十二)年末结转和结余：指单位按有关规定结转到下年或以后年度继续使用的资金，或项目已完成等产生的结余资金。</w:t>
      </w:r>
    </w:p>
    <w:p w14:paraId="1DE6370C">
      <w:pPr>
        <w:keepNext w:val="0"/>
        <w:keepLines w:val="0"/>
        <w:pageBreakBefore w:val="0"/>
        <w:widowControl w:val="0"/>
        <w:numPr>
          <w:ilvl w:val="0"/>
          <w:numId w:val="0"/>
        </w:numPr>
        <w:kinsoku/>
        <w:wordWrap/>
        <w:overflowPunct/>
        <w:topLinePunct w:val="0"/>
        <w:autoSpaceDE/>
        <w:autoSpaceDN/>
        <w:bidi w:val="0"/>
        <w:spacing w:line="360" w:lineRule="auto"/>
        <w:ind w:firstLine="640" w:firstLineChars="200"/>
        <w:jc w:val="both"/>
        <w:textAlignment w:val="auto"/>
        <w:outlineLvl w:val="9"/>
        <w:rPr>
          <w:rFonts w:hint="eastAsia" w:ascii="Times New Roman" w:hAnsi="Times New Roman" w:cs="Times New Roman"/>
          <w:lang w:val="en-US" w:eastAsia="zh-CN"/>
        </w:rPr>
      </w:pPr>
      <w:r>
        <w:rPr>
          <w:rFonts w:hint="eastAsia" w:ascii="Times New Roman" w:hAnsi="Times New Roman" w:cs="Times New Roman"/>
          <w:lang w:val="en-US" w:eastAsia="zh-CN"/>
        </w:rPr>
        <w:t>(十三)基本支出：指为保障机构正常运转、完成日常工作任务而发生的人员支出和公用支出。</w:t>
      </w:r>
    </w:p>
    <w:p w14:paraId="6633DF22">
      <w:pPr>
        <w:keepNext w:val="0"/>
        <w:keepLines w:val="0"/>
        <w:pageBreakBefore w:val="0"/>
        <w:widowControl w:val="0"/>
        <w:numPr>
          <w:ilvl w:val="0"/>
          <w:numId w:val="0"/>
        </w:numPr>
        <w:kinsoku/>
        <w:wordWrap/>
        <w:overflowPunct/>
        <w:topLinePunct w:val="0"/>
        <w:autoSpaceDE/>
        <w:autoSpaceDN/>
        <w:bidi w:val="0"/>
        <w:spacing w:line="360" w:lineRule="auto"/>
        <w:ind w:firstLine="640" w:firstLineChars="200"/>
        <w:jc w:val="both"/>
        <w:textAlignment w:val="auto"/>
        <w:outlineLvl w:val="9"/>
        <w:rPr>
          <w:rFonts w:hint="eastAsia" w:ascii="Times New Roman" w:hAnsi="Times New Roman" w:cs="Times New Roman"/>
          <w:lang w:val="en-US" w:eastAsia="zh-CN"/>
        </w:rPr>
      </w:pPr>
      <w:r>
        <w:rPr>
          <w:rFonts w:hint="eastAsia" w:ascii="Times New Roman" w:hAnsi="Times New Roman" w:cs="Times New Roman"/>
          <w:lang w:val="en-US" w:eastAsia="zh-CN"/>
        </w:rPr>
        <w:t>(十四)项目支出：指在基本支出之外为完成特定行政任务或事业发展目标所发生的支出。</w:t>
      </w:r>
    </w:p>
    <w:p w14:paraId="37D0F72A">
      <w:pPr>
        <w:keepNext w:val="0"/>
        <w:keepLines w:val="0"/>
        <w:pageBreakBefore w:val="0"/>
        <w:widowControl w:val="0"/>
        <w:numPr>
          <w:ilvl w:val="0"/>
          <w:numId w:val="0"/>
        </w:numPr>
        <w:kinsoku/>
        <w:wordWrap/>
        <w:overflowPunct/>
        <w:topLinePunct w:val="0"/>
        <w:autoSpaceDE/>
        <w:autoSpaceDN/>
        <w:bidi w:val="0"/>
        <w:spacing w:line="360" w:lineRule="auto"/>
        <w:ind w:firstLine="640" w:firstLineChars="200"/>
        <w:jc w:val="both"/>
        <w:textAlignment w:val="auto"/>
        <w:outlineLvl w:val="9"/>
        <w:rPr>
          <w:rFonts w:hint="eastAsia" w:ascii="Times New Roman" w:hAnsi="Times New Roman" w:cs="Times New Roman"/>
          <w:lang w:val="en-US" w:eastAsia="zh-CN"/>
        </w:rPr>
      </w:pPr>
      <w:r>
        <w:rPr>
          <w:rFonts w:hint="eastAsia" w:ascii="Times New Roman" w:hAnsi="Times New Roman" w:cs="Times New Roman"/>
          <w:lang w:val="en-US" w:eastAsia="zh-CN"/>
        </w:rPr>
        <w:t>(十五)经营支出：指事业单位在专业活动及辅助活动之外开展非独立核算经营活动发生的支出。</w:t>
      </w:r>
    </w:p>
    <w:p w14:paraId="2A412D6A">
      <w:pPr>
        <w:keepNext w:val="0"/>
        <w:keepLines w:val="0"/>
        <w:pageBreakBefore w:val="0"/>
        <w:widowControl w:val="0"/>
        <w:numPr>
          <w:ilvl w:val="0"/>
          <w:numId w:val="0"/>
        </w:numPr>
        <w:kinsoku/>
        <w:wordWrap/>
        <w:overflowPunct/>
        <w:topLinePunct w:val="0"/>
        <w:autoSpaceDE/>
        <w:autoSpaceDN/>
        <w:bidi w:val="0"/>
        <w:spacing w:line="360" w:lineRule="auto"/>
        <w:ind w:firstLine="640" w:firstLineChars="200"/>
        <w:jc w:val="both"/>
        <w:textAlignment w:val="auto"/>
        <w:outlineLvl w:val="9"/>
        <w:rPr>
          <w:rFonts w:hint="eastAsia" w:ascii="Times New Roman" w:hAnsi="Times New Roman" w:cs="Times New Roman"/>
          <w:lang w:val="en-US" w:eastAsia="zh-CN"/>
        </w:rPr>
      </w:pPr>
      <w:r>
        <w:rPr>
          <w:rFonts w:hint="eastAsia" w:ascii="Times New Roman" w:hAnsi="Times New Roman" w:cs="Times New Roman"/>
          <w:lang w:val="en-US" w:eastAsia="zh-CN"/>
        </w:rPr>
        <w:t>(十六)“三公”经费：纳入财政一般公共预算管理的“三公”经费，是指市直部门用一般公共预算财政拨款安排的因公出国(境)费、公务用车购置及运行费和公务接待费。其中，因公出国(境)费反映单位公务出国(境)的国际旅费、国外城市间交通费、住宿费、伙食费、培训费、公杂费等支出；公务用车购置及运行费反映单位公务用车购置支出(含车辆购置税、牌照费)及燃料费、维修费、过桥过路费、保险费、安全奖励费用等支出；公务接待费反映单位按规定开支的各类公务接待(含外宾接待)费用。</w:t>
      </w:r>
    </w:p>
    <w:p w14:paraId="3C44F843">
      <w:pPr>
        <w:keepNext w:val="0"/>
        <w:keepLines w:val="0"/>
        <w:pageBreakBefore w:val="0"/>
        <w:widowControl w:val="0"/>
        <w:numPr>
          <w:ilvl w:val="0"/>
          <w:numId w:val="0"/>
        </w:numPr>
        <w:kinsoku/>
        <w:wordWrap/>
        <w:overflowPunct/>
        <w:topLinePunct w:val="0"/>
        <w:autoSpaceDE/>
        <w:autoSpaceDN/>
        <w:bidi w:val="0"/>
        <w:spacing w:line="360" w:lineRule="auto"/>
        <w:ind w:firstLine="640" w:firstLineChars="200"/>
        <w:jc w:val="both"/>
        <w:textAlignment w:val="auto"/>
        <w:outlineLvl w:val="9"/>
        <w:rPr>
          <w:rFonts w:hint="eastAsia" w:ascii="Times New Roman" w:hAnsi="Times New Roman" w:cs="Times New Roman"/>
          <w:lang w:val="en-US" w:eastAsia="zh-CN"/>
        </w:rPr>
      </w:pPr>
      <w:r>
        <w:rPr>
          <w:rFonts w:hint="eastAsia" w:ascii="Times New Roman" w:hAnsi="Times New Roman" w:cs="Times New Roman"/>
          <w:lang w:val="en-US" w:eastAsia="zh-CN"/>
        </w:rPr>
        <w:t>(十七)机关运行经费：指为保障行政单位（包括参照公务员法管理的事业单位）运行用于购买货物和服务的各项资金，包括办公费、印刷费、邮电费、差旅费、会议费、福利费、日常维修费、专用材料及一般设备购置费、办公用房水电费、办公用房取暖费、办公用房物业管理费、公务用车运行维护费以及其他费用。</w:t>
      </w:r>
    </w:p>
    <w:p w14:paraId="737CF4C3">
      <w:pPr>
        <w:keepNext w:val="0"/>
        <w:keepLines w:val="0"/>
        <w:pageBreakBefore w:val="0"/>
        <w:widowControl w:val="0"/>
        <w:numPr>
          <w:ilvl w:val="0"/>
          <w:numId w:val="0"/>
        </w:numPr>
        <w:kinsoku/>
        <w:wordWrap/>
        <w:overflowPunct/>
        <w:topLinePunct w:val="0"/>
        <w:autoSpaceDE/>
        <w:autoSpaceDN/>
        <w:bidi w:val="0"/>
        <w:spacing w:line="360" w:lineRule="auto"/>
        <w:ind w:firstLine="640" w:firstLineChars="200"/>
        <w:jc w:val="both"/>
        <w:textAlignment w:val="auto"/>
        <w:outlineLvl w:val="9"/>
        <w:rPr>
          <w:rFonts w:hint="eastAsia" w:ascii="Times New Roman" w:hAnsi="Times New Roman" w:cs="Times New Roman"/>
          <w:lang w:val="en-US" w:eastAsia="zh-CN"/>
        </w:rPr>
      </w:pPr>
      <w:r>
        <w:rPr>
          <w:rFonts w:hint="eastAsia" w:ascii="Times New Roman" w:hAnsi="Times New Roman" w:cs="Times New Roman"/>
          <w:lang w:val="en-US" w:eastAsia="zh-CN"/>
        </w:rPr>
        <w:t>(十八)其他专用名词。</w:t>
      </w:r>
    </w:p>
    <w:p w14:paraId="685A1CF2">
      <w:pPr>
        <w:pStyle w:val="11"/>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第六部分  附件</w:t>
      </w:r>
    </w:p>
    <w:p w14:paraId="1A68C755">
      <w:pPr>
        <w:bidi w:val="0"/>
        <w:rPr>
          <w:rFonts w:hint="eastAsia" w:ascii="黑体" w:hAnsi="黑体" w:eastAsia="黑体" w:cs="黑体"/>
          <w:lang w:val="en-US" w:eastAsia="zh-CN"/>
        </w:rPr>
      </w:pPr>
      <w:r>
        <w:rPr>
          <w:rFonts w:hint="eastAsia" w:ascii="黑体" w:hAnsi="黑体" w:eastAsia="黑体" w:cs="黑体"/>
          <w:kern w:val="2"/>
          <w:szCs w:val="32"/>
          <w:lang w:val="en-US" w:eastAsia="zh-CN" w:bidi="ar-SA"/>
        </w:rPr>
        <w:t xml:space="preserve">    </w:t>
      </w:r>
      <w:r>
        <w:rPr>
          <w:rFonts w:hint="eastAsia" w:ascii="黑体" w:hAnsi="黑体" w:eastAsia="黑体" w:cs="黑体"/>
          <w:lang w:val="en-US" w:eastAsia="zh-CN"/>
        </w:rPr>
        <w:t>一、2022年度赤壁市车埠镇人民政府整体绩效评价报告</w:t>
      </w:r>
    </w:p>
    <w:p w14:paraId="7C42797C">
      <w:pPr>
        <w:keepNext w:val="0"/>
        <w:keepLines w:val="0"/>
        <w:pageBreakBefore w:val="0"/>
        <w:widowControl w:val="0"/>
        <w:numPr>
          <w:ilvl w:val="0"/>
          <w:numId w:val="0"/>
        </w:numPr>
        <w:kinsoku/>
        <w:wordWrap/>
        <w:overflowPunct/>
        <w:topLinePunct w:val="0"/>
        <w:autoSpaceDE/>
        <w:autoSpaceDN/>
        <w:bidi w:val="0"/>
        <w:spacing w:line="360" w:lineRule="auto"/>
        <w:ind w:firstLine="640" w:firstLineChars="200"/>
        <w:jc w:val="both"/>
        <w:textAlignment w:val="auto"/>
        <w:outlineLvl w:val="9"/>
        <w:rPr>
          <w:rFonts w:hint="eastAsia" w:ascii="Times New Roman" w:hAnsi="Times New Roman" w:cs="Times New Roman"/>
          <w:lang w:val="en-US" w:eastAsia="zh-CN"/>
        </w:rPr>
      </w:pPr>
      <w:r>
        <w:rPr>
          <w:rFonts w:hint="eastAsia" w:ascii="Times New Roman" w:hAnsi="Times New Roman" w:cs="Times New Roman"/>
          <w:lang w:val="en-US" w:eastAsia="zh-CN"/>
        </w:rPr>
        <w:t xml:space="preserve">    根据上级财政会议及文件精神，我们对财政资金整体支出绩效进行了认真自评，总体自我评价是：财政资金预算配置基本合理合规，预算执行严格有序，预算管理规范可控，资金效益基本合乎预期。具体自评情况如下：</w:t>
      </w:r>
    </w:p>
    <w:p w14:paraId="377F5687">
      <w:pPr>
        <w:keepNext w:val="0"/>
        <w:keepLines w:val="0"/>
        <w:pageBreakBefore w:val="0"/>
        <w:widowControl w:val="0"/>
        <w:kinsoku/>
        <w:wordWrap/>
        <w:overflowPunct/>
        <w:topLinePunct w:val="0"/>
        <w:autoSpaceDE/>
        <w:autoSpaceDN/>
        <w:bidi w:val="0"/>
        <w:adjustRightInd/>
        <w:snapToGrid/>
        <w:spacing w:line="600" w:lineRule="exact"/>
        <w:ind w:left="0" w:right="0" w:firstLine="664" w:firstLineChars="200"/>
        <w:textAlignment w:val="auto"/>
        <w:rPr>
          <w:rFonts w:hint="eastAsia" w:ascii="方正楷体_GB2312" w:hAnsi="方正楷体_GB2312" w:eastAsia="黑体" w:cs="方正小标宋_GBK"/>
          <w:color w:val="161616"/>
          <w:spacing w:val="6"/>
          <w:sz w:val="32"/>
          <w:szCs w:val="32"/>
        </w:rPr>
      </w:pPr>
      <w:r>
        <w:rPr>
          <w:rFonts w:hint="eastAsia" w:ascii="方正楷体_GB2312" w:hAnsi="方正楷体_GB2312" w:eastAsia="黑体" w:cs="方正小标宋_GBK"/>
          <w:color w:val="161616"/>
          <w:spacing w:val="6"/>
          <w:sz w:val="32"/>
          <w:szCs w:val="32"/>
        </w:rPr>
        <w:t>一</w:t>
      </w:r>
      <w:r>
        <w:rPr>
          <w:rFonts w:hint="eastAsia" w:ascii="方正楷体_GB2312" w:hAnsi="方正楷体_GB2312" w:eastAsia="黑体" w:cs="方正小标宋_GBK"/>
          <w:color w:val="161616"/>
          <w:spacing w:val="6"/>
          <w:sz w:val="32"/>
          <w:szCs w:val="32"/>
          <w:lang w:eastAsia="zh-CN"/>
        </w:rPr>
        <w:t>、</w:t>
      </w:r>
      <w:r>
        <w:rPr>
          <w:rFonts w:hint="eastAsia" w:ascii="方正楷体_GB2312" w:hAnsi="方正楷体_GB2312" w:eastAsia="黑体" w:cs="方正小标宋_GBK"/>
          <w:color w:val="161616"/>
          <w:spacing w:val="6"/>
          <w:sz w:val="32"/>
          <w:szCs w:val="32"/>
        </w:rPr>
        <w:t>部门概况</w:t>
      </w:r>
    </w:p>
    <w:p w14:paraId="0F22E63A">
      <w:pPr>
        <w:keepNext w:val="0"/>
        <w:keepLines w:val="0"/>
        <w:pageBreakBefore w:val="0"/>
        <w:widowControl w:val="0"/>
        <w:numPr>
          <w:ilvl w:val="0"/>
          <w:numId w:val="2"/>
        </w:numPr>
        <w:kinsoku/>
        <w:wordWrap/>
        <w:overflowPunct/>
        <w:topLinePunct w:val="0"/>
        <w:autoSpaceDE/>
        <w:autoSpaceDN/>
        <w:bidi w:val="0"/>
        <w:adjustRightInd/>
        <w:snapToGrid/>
        <w:spacing w:line="600" w:lineRule="exact"/>
        <w:ind w:left="0" w:right="0" w:firstLine="664" w:firstLineChars="200"/>
        <w:textAlignment w:val="auto"/>
        <w:rPr>
          <w:rFonts w:hint="eastAsia" w:ascii="方正楷体_GB2312" w:hAnsi="方正楷体_GB2312" w:eastAsia="楷体" w:cs="黑体"/>
          <w:color w:val="161616"/>
          <w:spacing w:val="6"/>
          <w:sz w:val="32"/>
          <w:szCs w:val="32"/>
          <w:lang w:val="en-US" w:eastAsia="zh-CN"/>
        </w:rPr>
      </w:pPr>
      <w:r>
        <w:rPr>
          <w:rFonts w:hint="eastAsia" w:ascii="方正楷体_GB2312" w:hAnsi="方正楷体_GB2312" w:eastAsia="楷体" w:cs="黑体"/>
          <w:color w:val="161616"/>
          <w:spacing w:val="6"/>
          <w:sz w:val="32"/>
          <w:szCs w:val="32"/>
          <w:lang w:val="en-US" w:eastAsia="zh-CN"/>
        </w:rPr>
        <w:t>主要职责</w:t>
      </w:r>
    </w:p>
    <w:p w14:paraId="17A1ABBA">
      <w:pPr>
        <w:keepNext w:val="0"/>
        <w:keepLines w:val="0"/>
        <w:pageBreakBefore w:val="0"/>
        <w:widowControl w:val="0"/>
        <w:numPr>
          <w:ilvl w:val="0"/>
          <w:numId w:val="0"/>
        </w:numPr>
        <w:kinsoku/>
        <w:wordWrap/>
        <w:overflowPunct/>
        <w:topLinePunct w:val="0"/>
        <w:autoSpaceDE/>
        <w:autoSpaceDN/>
        <w:bidi w:val="0"/>
        <w:spacing w:line="360" w:lineRule="auto"/>
        <w:ind w:firstLine="640" w:firstLineChars="200"/>
        <w:jc w:val="both"/>
        <w:textAlignment w:val="auto"/>
        <w:outlineLvl w:val="9"/>
        <w:rPr>
          <w:rFonts w:hint="eastAsia" w:ascii="Times New Roman" w:hAnsi="Times New Roman" w:cs="Times New Roman"/>
          <w:lang w:val="en-US" w:eastAsia="zh-CN"/>
        </w:rPr>
      </w:pPr>
      <w:r>
        <w:rPr>
          <w:rFonts w:hint="eastAsia" w:ascii="Times New Roman" w:hAnsi="Times New Roman" w:cs="Times New Roman"/>
          <w:lang w:val="en-US" w:eastAsia="zh-CN"/>
        </w:rPr>
        <w:t>落实国家政策，严格依法行政，发挥经济管理职能，加强政策引导，制定发展规划，服务市场主体和营造发展环境，搞好市场监管，大力促进社会事业发展，发展乡镇经济、文化和社会事业，提供公共服务，维护社会稳定，构建社会主义和谐社会。</w:t>
      </w:r>
    </w:p>
    <w:p w14:paraId="6F1BE902">
      <w:pPr>
        <w:keepNext w:val="0"/>
        <w:keepLines w:val="0"/>
        <w:pageBreakBefore w:val="0"/>
        <w:widowControl w:val="0"/>
        <w:numPr>
          <w:ilvl w:val="0"/>
          <w:numId w:val="2"/>
        </w:numPr>
        <w:kinsoku/>
        <w:wordWrap/>
        <w:overflowPunct/>
        <w:topLinePunct w:val="0"/>
        <w:autoSpaceDE/>
        <w:autoSpaceDN/>
        <w:bidi w:val="0"/>
        <w:adjustRightInd/>
        <w:snapToGrid/>
        <w:spacing w:line="600" w:lineRule="exact"/>
        <w:ind w:left="0" w:right="0" w:firstLine="664" w:firstLineChars="200"/>
        <w:textAlignment w:val="auto"/>
        <w:rPr>
          <w:rFonts w:hint="eastAsia" w:ascii="方正楷体_GB2312" w:hAnsi="方正楷体_GB2312" w:eastAsia="楷体" w:cs="黑体"/>
          <w:color w:val="161616"/>
          <w:spacing w:val="6"/>
          <w:sz w:val="32"/>
          <w:szCs w:val="32"/>
          <w:lang w:val="en-US" w:eastAsia="zh-CN"/>
        </w:rPr>
      </w:pPr>
      <w:r>
        <w:rPr>
          <w:rFonts w:hint="eastAsia" w:ascii="方正楷体_GB2312" w:hAnsi="方正楷体_GB2312" w:eastAsia="楷体" w:cs="黑体"/>
          <w:color w:val="161616"/>
          <w:spacing w:val="6"/>
          <w:sz w:val="32"/>
          <w:szCs w:val="32"/>
          <w:lang w:val="en-US" w:eastAsia="zh-CN"/>
        </w:rPr>
        <w:t>内设机构</w:t>
      </w:r>
    </w:p>
    <w:p w14:paraId="129F479E">
      <w:pPr>
        <w:keepNext w:val="0"/>
        <w:keepLines w:val="0"/>
        <w:pageBreakBefore w:val="0"/>
        <w:widowControl w:val="0"/>
        <w:numPr>
          <w:ilvl w:val="0"/>
          <w:numId w:val="0"/>
        </w:numPr>
        <w:kinsoku/>
        <w:wordWrap/>
        <w:overflowPunct/>
        <w:topLinePunct w:val="0"/>
        <w:autoSpaceDE/>
        <w:autoSpaceDN/>
        <w:bidi w:val="0"/>
        <w:spacing w:line="360" w:lineRule="auto"/>
        <w:ind w:firstLine="640" w:firstLineChars="200"/>
        <w:jc w:val="both"/>
        <w:textAlignment w:val="auto"/>
        <w:outlineLvl w:val="9"/>
        <w:rPr>
          <w:rFonts w:hint="eastAsia" w:ascii="Times New Roman" w:hAnsi="Times New Roman" w:cs="Times New Roman"/>
          <w:lang w:val="en-US" w:eastAsia="zh-CN"/>
        </w:rPr>
      </w:pPr>
      <w:r>
        <w:rPr>
          <w:rFonts w:hint="eastAsia" w:ascii="Times New Roman" w:hAnsi="Times New Roman" w:cs="Times New Roman"/>
          <w:lang w:val="en-US" w:eastAsia="zh-CN"/>
        </w:rPr>
        <w:t>（1）党政综合办公室：负责乡镇党委、人大、政府、政协、纪检监察和综治维稳日常工作以及机关信访、接待、信息、发文办会、后勤服务等工作。</w:t>
      </w:r>
    </w:p>
    <w:p w14:paraId="740FD6CA">
      <w:pPr>
        <w:keepNext w:val="0"/>
        <w:keepLines w:val="0"/>
        <w:pageBreakBefore w:val="0"/>
        <w:widowControl w:val="0"/>
        <w:numPr>
          <w:ilvl w:val="0"/>
          <w:numId w:val="0"/>
        </w:numPr>
        <w:kinsoku/>
        <w:wordWrap/>
        <w:overflowPunct/>
        <w:topLinePunct w:val="0"/>
        <w:autoSpaceDE/>
        <w:autoSpaceDN/>
        <w:bidi w:val="0"/>
        <w:spacing w:line="360" w:lineRule="auto"/>
        <w:ind w:firstLine="640" w:firstLineChars="200"/>
        <w:jc w:val="both"/>
        <w:textAlignment w:val="auto"/>
        <w:outlineLvl w:val="9"/>
        <w:rPr>
          <w:rFonts w:hint="eastAsia" w:ascii="Times New Roman" w:hAnsi="Times New Roman" w:cs="Times New Roman"/>
          <w:lang w:val="en-US" w:eastAsia="zh-CN"/>
        </w:rPr>
      </w:pPr>
      <w:r>
        <w:rPr>
          <w:rFonts w:hint="eastAsia" w:ascii="Times New Roman" w:hAnsi="Times New Roman" w:cs="Times New Roman"/>
          <w:lang w:val="en-US" w:eastAsia="zh-CN"/>
        </w:rPr>
        <w:t>（2）经济发展办公室:负责农业、工贸、交通、财政税收、乡镇民营企业、安全生产监督、国土资源、村镇规划建设、环境保护、农村土地承包、农民负担监督、农村集体资产财务管理等工作。</w:t>
      </w:r>
    </w:p>
    <w:p w14:paraId="344331C3">
      <w:pPr>
        <w:keepNext w:val="0"/>
        <w:keepLines w:val="0"/>
        <w:pageBreakBefore w:val="0"/>
        <w:widowControl w:val="0"/>
        <w:numPr>
          <w:ilvl w:val="0"/>
          <w:numId w:val="0"/>
        </w:numPr>
        <w:kinsoku/>
        <w:wordWrap/>
        <w:overflowPunct/>
        <w:topLinePunct w:val="0"/>
        <w:autoSpaceDE/>
        <w:autoSpaceDN/>
        <w:bidi w:val="0"/>
        <w:spacing w:line="360" w:lineRule="auto"/>
        <w:ind w:firstLine="640" w:firstLineChars="200"/>
        <w:jc w:val="both"/>
        <w:textAlignment w:val="auto"/>
        <w:outlineLvl w:val="9"/>
        <w:rPr>
          <w:rFonts w:hint="eastAsia" w:ascii="Times New Roman" w:hAnsi="Times New Roman" w:cs="Times New Roman"/>
          <w:lang w:val="en-US" w:eastAsia="zh-CN"/>
        </w:rPr>
      </w:pPr>
      <w:r>
        <w:rPr>
          <w:rFonts w:hint="eastAsia" w:ascii="Times New Roman" w:hAnsi="Times New Roman" w:cs="Times New Roman"/>
          <w:lang w:val="en-US" w:eastAsia="zh-CN"/>
        </w:rPr>
        <w:t>（3）社会事务办公室:负责教科文卫、广电网络、民政、社会保障、劳动就业、基层政权建设、食品药品监督管理等工作。</w:t>
      </w:r>
    </w:p>
    <w:p w14:paraId="327C3841">
      <w:pPr>
        <w:keepNext w:val="0"/>
        <w:keepLines w:val="0"/>
        <w:pageBreakBefore w:val="0"/>
        <w:widowControl w:val="0"/>
        <w:kinsoku/>
        <w:wordWrap/>
        <w:overflowPunct/>
        <w:topLinePunct w:val="0"/>
        <w:autoSpaceDE/>
        <w:autoSpaceDN/>
        <w:bidi w:val="0"/>
        <w:adjustRightInd/>
        <w:snapToGrid/>
        <w:spacing w:line="600" w:lineRule="exact"/>
        <w:ind w:left="0" w:right="0" w:firstLine="664" w:firstLineChars="200"/>
        <w:textAlignment w:val="auto"/>
        <w:rPr>
          <w:rFonts w:hint="eastAsia" w:ascii="方正楷体_GB2312" w:hAnsi="方正楷体_GB2312" w:eastAsia="黑体" w:cs="方正小标宋_GBK"/>
          <w:color w:val="161616"/>
          <w:spacing w:val="6"/>
          <w:sz w:val="32"/>
          <w:szCs w:val="32"/>
          <w:lang w:val="en-US" w:eastAsia="zh-CN"/>
        </w:rPr>
      </w:pPr>
      <w:r>
        <w:rPr>
          <w:rFonts w:hint="eastAsia" w:ascii="方正楷体_GB2312" w:hAnsi="方正楷体_GB2312" w:eastAsia="黑体" w:cs="方正小标宋_GBK"/>
          <w:color w:val="161616"/>
          <w:spacing w:val="6"/>
          <w:sz w:val="32"/>
          <w:szCs w:val="32"/>
          <w:lang w:val="en-US" w:eastAsia="zh-CN"/>
        </w:rPr>
        <w:t>二、决算整体支出及使用情况</w:t>
      </w:r>
    </w:p>
    <w:p w14:paraId="70B78860">
      <w:pPr>
        <w:keepNext w:val="0"/>
        <w:keepLines w:val="0"/>
        <w:pageBreakBefore w:val="0"/>
        <w:widowControl w:val="0"/>
        <w:numPr>
          <w:ilvl w:val="0"/>
          <w:numId w:val="0"/>
        </w:numPr>
        <w:kinsoku/>
        <w:wordWrap/>
        <w:overflowPunct/>
        <w:topLinePunct w:val="0"/>
        <w:autoSpaceDE/>
        <w:autoSpaceDN/>
        <w:bidi w:val="0"/>
        <w:spacing w:line="360" w:lineRule="auto"/>
        <w:ind w:firstLine="640" w:firstLineChars="200"/>
        <w:jc w:val="both"/>
        <w:textAlignment w:val="auto"/>
        <w:outlineLvl w:val="9"/>
        <w:rPr>
          <w:rFonts w:hint="eastAsia" w:ascii="Times New Roman" w:hAnsi="Times New Roman" w:cs="Times New Roman"/>
          <w:lang w:val="en-US" w:eastAsia="zh-CN"/>
        </w:rPr>
      </w:pPr>
      <w:r>
        <w:rPr>
          <w:rFonts w:hint="eastAsia" w:ascii="Times New Roman" w:hAnsi="Times New Roman" w:cs="Times New Roman"/>
          <w:lang w:val="en-US" w:eastAsia="zh-CN"/>
        </w:rPr>
        <w:t>2022年度支出合计2497.42万元。其中：基本支出1284.55万元，占本年支出51%；项目支出1212.87万元，占本年支出49%；上缴上级支出0万元，占本年支出0%；经营支出0万元，占本年支出0%。</w:t>
      </w:r>
    </w:p>
    <w:p w14:paraId="237D8F49">
      <w:pPr>
        <w:keepNext w:val="0"/>
        <w:keepLines w:val="0"/>
        <w:pageBreakBefore w:val="0"/>
        <w:widowControl w:val="0"/>
        <w:numPr>
          <w:ilvl w:val="0"/>
          <w:numId w:val="0"/>
        </w:numPr>
        <w:kinsoku/>
        <w:wordWrap/>
        <w:overflowPunct/>
        <w:topLinePunct w:val="0"/>
        <w:autoSpaceDE/>
        <w:autoSpaceDN/>
        <w:bidi w:val="0"/>
        <w:spacing w:line="360" w:lineRule="auto"/>
        <w:ind w:firstLine="640" w:firstLineChars="200"/>
        <w:jc w:val="both"/>
        <w:textAlignment w:val="auto"/>
        <w:outlineLvl w:val="9"/>
        <w:rPr>
          <w:rFonts w:hint="eastAsia" w:ascii="Times New Roman" w:hAnsi="Times New Roman" w:cs="Times New Roman"/>
          <w:lang w:val="en-US" w:eastAsia="zh-CN"/>
        </w:rPr>
      </w:pPr>
      <w:r>
        <w:rPr>
          <w:rFonts w:hint="eastAsia" w:ascii="Times New Roman" w:hAnsi="Times New Roman" w:cs="Times New Roman"/>
          <w:lang w:val="en-US" w:eastAsia="zh-CN"/>
        </w:rPr>
        <w:t>基本支出主要用于在职和离休退休人员的工资福利，保障正常运转的公用支出和业务支，其中：人员支出668.75万元，日常公用经费支出615.8万元。</w:t>
      </w:r>
    </w:p>
    <w:p w14:paraId="46E34EE9">
      <w:pPr>
        <w:keepNext w:val="0"/>
        <w:keepLines w:val="0"/>
        <w:pageBreakBefore w:val="0"/>
        <w:widowControl w:val="0"/>
        <w:numPr>
          <w:ilvl w:val="0"/>
          <w:numId w:val="0"/>
        </w:numPr>
        <w:kinsoku/>
        <w:wordWrap/>
        <w:overflowPunct/>
        <w:topLinePunct w:val="0"/>
        <w:autoSpaceDE/>
        <w:autoSpaceDN/>
        <w:bidi w:val="0"/>
        <w:spacing w:line="360" w:lineRule="auto"/>
        <w:ind w:firstLine="640" w:firstLineChars="200"/>
        <w:jc w:val="both"/>
        <w:textAlignment w:val="auto"/>
        <w:outlineLvl w:val="9"/>
        <w:rPr>
          <w:rFonts w:hint="eastAsia" w:ascii="Times New Roman" w:hAnsi="Times New Roman" w:cs="Times New Roman"/>
          <w:lang w:val="en-US" w:eastAsia="zh-CN"/>
        </w:rPr>
      </w:pPr>
      <w:r>
        <w:rPr>
          <w:rFonts w:hint="eastAsia" w:ascii="Times New Roman" w:hAnsi="Times New Roman" w:cs="Times New Roman"/>
          <w:lang w:val="en-US" w:eastAsia="zh-CN"/>
        </w:rPr>
        <w:t>项目支出为1212.87万元。项目资金用于相关工作的开展，保障了既定工作任务的完成，保障了社会和谐稳定和公平公正。</w:t>
      </w:r>
    </w:p>
    <w:p w14:paraId="675D7834">
      <w:pPr>
        <w:keepNext w:val="0"/>
        <w:keepLines w:val="0"/>
        <w:pageBreakBefore w:val="0"/>
        <w:widowControl w:val="0"/>
        <w:kinsoku/>
        <w:wordWrap/>
        <w:overflowPunct/>
        <w:topLinePunct w:val="0"/>
        <w:autoSpaceDE/>
        <w:autoSpaceDN/>
        <w:bidi w:val="0"/>
        <w:adjustRightInd/>
        <w:snapToGrid/>
        <w:spacing w:line="600" w:lineRule="exact"/>
        <w:ind w:left="0" w:right="0" w:firstLine="664" w:firstLineChars="200"/>
        <w:textAlignment w:val="auto"/>
        <w:rPr>
          <w:rFonts w:hint="eastAsia" w:ascii="方正楷体_GB2312" w:hAnsi="方正楷体_GB2312" w:eastAsia="黑体" w:cs="方正小标宋_GBK"/>
          <w:color w:val="161616"/>
          <w:spacing w:val="6"/>
          <w:sz w:val="32"/>
          <w:szCs w:val="32"/>
          <w:lang w:val="en-US" w:eastAsia="zh-CN"/>
        </w:rPr>
      </w:pPr>
      <w:r>
        <w:rPr>
          <w:rFonts w:hint="eastAsia" w:ascii="方正楷体_GB2312" w:hAnsi="方正楷体_GB2312" w:eastAsia="黑体" w:cs="方正小标宋_GBK"/>
          <w:color w:val="161616"/>
          <w:spacing w:val="6"/>
          <w:sz w:val="32"/>
          <w:szCs w:val="32"/>
          <w:lang w:val="en-US" w:eastAsia="zh-CN"/>
        </w:rPr>
        <w:t>三、绩效评价工作情况</w:t>
      </w:r>
    </w:p>
    <w:p w14:paraId="6B250362">
      <w:pPr>
        <w:keepNext w:val="0"/>
        <w:keepLines w:val="0"/>
        <w:pageBreakBefore w:val="0"/>
        <w:widowControl w:val="0"/>
        <w:numPr>
          <w:ilvl w:val="0"/>
          <w:numId w:val="0"/>
        </w:numPr>
        <w:kinsoku/>
        <w:wordWrap/>
        <w:overflowPunct/>
        <w:topLinePunct w:val="0"/>
        <w:autoSpaceDE/>
        <w:autoSpaceDN/>
        <w:bidi w:val="0"/>
        <w:spacing w:line="360" w:lineRule="auto"/>
        <w:ind w:firstLine="640" w:firstLineChars="200"/>
        <w:jc w:val="both"/>
        <w:textAlignment w:val="auto"/>
        <w:outlineLvl w:val="9"/>
        <w:rPr>
          <w:rFonts w:hint="eastAsia" w:ascii="Times New Roman" w:hAnsi="Times New Roman" w:cs="Times New Roman"/>
          <w:lang w:val="en-US" w:eastAsia="zh-CN"/>
        </w:rPr>
      </w:pPr>
      <w:r>
        <w:rPr>
          <w:rFonts w:hint="eastAsia" w:ascii="Times New Roman" w:hAnsi="Times New Roman" w:cs="Times New Roman"/>
          <w:lang w:val="en-US" w:eastAsia="zh-CN"/>
        </w:rPr>
        <w:t>我单位根据上级要求，一是认真组织开展项目支出绩效评价和部门整体支出绩效评价工作，并充分运用绩效评价结果，调整设置的指标体系和绩效目标，加快建立绩效导向的预算管理制度。二是在预算执行中，依据绩效目标对项目资金运行状况及绩效目标的预期实现程度开展了一次绩效监控，确保预算绩效目标的实现。三是在预算编制中，认真梳理项目活动，依据项目活动明确项目绩效目标、量化关键绩效指标，将预算绩效评估结果作为预算安排的依据，提高预算绩效目标申报的及时性与规范性。四是完善绩效报告与公开制度，推动绩效信息公开，自觉接受社会监督。</w:t>
      </w:r>
    </w:p>
    <w:p w14:paraId="5A52D11F">
      <w:pPr>
        <w:keepNext w:val="0"/>
        <w:keepLines w:val="0"/>
        <w:pageBreakBefore w:val="0"/>
        <w:widowControl w:val="0"/>
        <w:kinsoku/>
        <w:wordWrap/>
        <w:overflowPunct/>
        <w:topLinePunct w:val="0"/>
        <w:autoSpaceDE/>
        <w:autoSpaceDN/>
        <w:bidi w:val="0"/>
        <w:adjustRightInd/>
        <w:snapToGrid/>
        <w:spacing w:line="600" w:lineRule="exact"/>
        <w:ind w:left="0" w:right="0" w:firstLine="664" w:firstLineChars="200"/>
        <w:textAlignment w:val="auto"/>
        <w:rPr>
          <w:rFonts w:hint="eastAsia" w:ascii="方正楷体_GB2312" w:hAnsi="方正楷体_GB2312" w:eastAsia="黑体" w:cs="方正小标宋_GBK"/>
          <w:color w:val="161616"/>
          <w:spacing w:val="6"/>
          <w:sz w:val="32"/>
          <w:szCs w:val="32"/>
          <w:lang w:val="en-US" w:eastAsia="zh-CN"/>
        </w:rPr>
      </w:pPr>
      <w:r>
        <w:rPr>
          <w:rFonts w:hint="eastAsia" w:ascii="方正楷体_GB2312" w:hAnsi="方正楷体_GB2312" w:eastAsia="黑体" w:cs="方正小标宋_GBK"/>
          <w:color w:val="161616"/>
          <w:spacing w:val="6"/>
          <w:sz w:val="32"/>
          <w:szCs w:val="32"/>
          <w:lang w:val="en-US" w:eastAsia="zh-CN"/>
        </w:rPr>
        <w:t>四、存在的主要问题</w:t>
      </w:r>
    </w:p>
    <w:p w14:paraId="25D3015C">
      <w:pPr>
        <w:keepNext w:val="0"/>
        <w:keepLines w:val="0"/>
        <w:pageBreakBefore w:val="0"/>
        <w:widowControl w:val="0"/>
        <w:numPr>
          <w:ilvl w:val="0"/>
          <w:numId w:val="0"/>
        </w:numPr>
        <w:kinsoku/>
        <w:wordWrap/>
        <w:overflowPunct/>
        <w:topLinePunct w:val="0"/>
        <w:autoSpaceDE/>
        <w:autoSpaceDN/>
        <w:bidi w:val="0"/>
        <w:spacing w:line="360" w:lineRule="auto"/>
        <w:ind w:firstLine="640" w:firstLineChars="200"/>
        <w:jc w:val="both"/>
        <w:textAlignment w:val="auto"/>
        <w:outlineLvl w:val="9"/>
        <w:rPr>
          <w:rFonts w:hint="eastAsia" w:ascii="Times New Roman" w:hAnsi="Times New Roman" w:cs="Times New Roman"/>
          <w:lang w:val="en-US" w:eastAsia="zh-CN"/>
        </w:rPr>
      </w:pPr>
      <w:r>
        <w:rPr>
          <w:rFonts w:hint="eastAsia" w:ascii="Times New Roman" w:hAnsi="Times New Roman" w:cs="Times New Roman"/>
          <w:lang w:val="en-US" w:eastAsia="zh-CN"/>
        </w:rPr>
        <w:t>一年来，我们虽然做了大量工作，取得了一定成效，但还存在许多问题和不足，离上级财政部门的要求还有一定距离。今后我单位要继续围绕中心，服务大局，以更高的标准和要求抓好工作。一是进一步抓好学习型党组织建设，认真落实镇党委中心组理论学习制度和理论学习领导责任制，党员领导干部要带头学、亲自抓，坚持一级抓一级，加强督促检查，大力营造机关浓厚的学理论、学知识的氛围。二是进一步抓好工作作风建设，重点加强干部队伍的观念转变，培养实干精神和勇于创新的勇气，坚持把群众的利益放在最高位置，重点关注和着力解决群众反映最突出的问题，切实转变工作作风，努力做到科学决策、合理规划、精心组织、狠抓落实、确保实效。</w:t>
      </w:r>
    </w:p>
    <w:p w14:paraId="2F488ECF">
      <w:pPr>
        <w:keepNext w:val="0"/>
        <w:keepLines w:val="0"/>
        <w:pageBreakBefore w:val="0"/>
        <w:widowControl w:val="0"/>
        <w:kinsoku/>
        <w:wordWrap/>
        <w:overflowPunct/>
        <w:topLinePunct w:val="0"/>
        <w:autoSpaceDE/>
        <w:autoSpaceDN/>
        <w:bidi w:val="0"/>
        <w:adjustRightInd/>
        <w:snapToGrid/>
        <w:spacing w:line="600" w:lineRule="exact"/>
        <w:ind w:left="0" w:right="0" w:firstLine="664" w:firstLineChars="200"/>
        <w:textAlignment w:val="auto"/>
        <w:rPr>
          <w:rFonts w:hint="eastAsia" w:ascii="方正楷体_GB2312" w:hAnsi="方正楷体_GB2312" w:eastAsia="黑体" w:cs="方正小标宋_GBK"/>
          <w:color w:val="161616"/>
          <w:spacing w:val="6"/>
          <w:sz w:val="32"/>
          <w:szCs w:val="32"/>
          <w:lang w:val="en-US" w:eastAsia="zh-CN"/>
        </w:rPr>
      </w:pPr>
      <w:r>
        <w:rPr>
          <w:rFonts w:hint="eastAsia" w:ascii="方正楷体_GB2312" w:hAnsi="方正楷体_GB2312" w:eastAsia="黑体" w:cs="方正小标宋_GBK"/>
          <w:color w:val="161616"/>
          <w:spacing w:val="6"/>
          <w:sz w:val="32"/>
          <w:szCs w:val="32"/>
          <w:lang w:val="en-US" w:eastAsia="zh-CN"/>
        </w:rPr>
        <w:t>五、下一步工作打算</w:t>
      </w:r>
    </w:p>
    <w:p w14:paraId="7DA5C982">
      <w:pPr>
        <w:keepNext w:val="0"/>
        <w:keepLines w:val="0"/>
        <w:pageBreakBefore w:val="0"/>
        <w:widowControl w:val="0"/>
        <w:kinsoku/>
        <w:wordWrap/>
        <w:overflowPunct/>
        <w:topLinePunct w:val="0"/>
        <w:autoSpaceDE/>
        <w:autoSpaceDN/>
        <w:bidi w:val="0"/>
        <w:adjustRightInd/>
        <w:snapToGrid/>
        <w:spacing w:line="600" w:lineRule="exact"/>
        <w:ind w:left="0" w:right="0" w:firstLine="683" w:firstLineChars="200"/>
        <w:textAlignment w:val="auto"/>
        <w:rPr>
          <w:rFonts w:hint="eastAsia" w:ascii="仿宋" w:hAnsi="仿宋" w:eastAsia="仿宋" w:cs="仿宋"/>
          <w:color w:val="161616"/>
          <w:spacing w:val="10"/>
          <w:sz w:val="32"/>
          <w:szCs w:val="32"/>
        </w:rPr>
      </w:pPr>
      <w:r>
        <w:rPr>
          <w:rFonts w:hint="eastAsia" w:ascii="仿宋" w:hAnsi="仿宋" w:eastAsia="仿宋" w:cs="仿宋"/>
          <w:b/>
          <w:bCs/>
          <w:color w:val="161616"/>
          <w:spacing w:val="10"/>
          <w:sz w:val="32"/>
          <w:szCs w:val="32"/>
        </w:rPr>
        <w:t>1、加强学习，提高思想认识。</w:t>
      </w:r>
      <w:r>
        <w:rPr>
          <w:rFonts w:hint="eastAsia" w:ascii="仿宋" w:hAnsi="仿宋" w:eastAsia="仿宋" w:cs="仿宋"/>
          <w:color w:val="161616"/>
          <w:spacing w:val="10"/>
          <w:sz w:val="32"/>
          <w:szCs w:val="32"/>
        </w:rPr>
        <w:t>组织单位财务人员认真学习《预算法》等相关法规、制度，提高单位领导对全面预算管理的重视程度，增强财务人员的预算意识。</w:t>
      </w:r>
    </w:p>
    <w:p w14:paraId="0685B8F6">
      <w:pPr>
        <w:keepNext w:val="0"/>
        <w:keepLines w:val="0"/>
        <w:pageBreakBefore w:val="0"/>
        <w:widowControl w:val="0"/>
        <w:kinsoku/>
        <w:wordWrap/>
        <w:overflowPunct/>
        <w:topLinePunct w:val="0"/>
        <w:autoSpaceDE/>
        <w:autoSpaceDN/>
        <w:bidi w:val="0"/>
        <w:adjustRightInd/>
        <w:snapToGrid/>
        <w:spacing w:line="600" w:lineRule="exact"/>
        <w:ind w:left="0" w:right="0" w:firstLine="683" w:firstLineChars="200"/>
        <w:textAlignment w:val="auto"/>
        <w:rPr>
          <w:rFonts w:hint="eastAsia" w:ascii="仿宋" w:hAnsi="仿宋" w:eastAsia="仿宋" w:cs="仿宋"/>
          <w:color w:val="161616"/>
          <w:spacing w:val="10"/>
          <w:sz w:val="32"/>
          <w:szCs w:val="32"/>
        </w:rPr>
      </w:pPr>
      <w:r>
        <w:rPr>
          <w:rFonts w:hint="eastAsia" w:ascii="仿宋" w:hAnsi="仿宋" w:eastAsia="仿宋" w:cs="仿宋"/>
          <w:b/>
          <w:bCs/>
          <w:color w:val="161616"/>
          <w:spacing w:val="10"/>
          <w:sz w:val="32"/>
          <w:szCs w:val="32"/>
          <w:lang w:val="en-US" w:eastAsia="zh-CN"/>
        </w:rPr>
        <w:t>2、</w:t>
      </w:r>
      <w:r>
        <w:rPr>
          <w:rFonts w:hint="eastAsia" w:ascii="仿宋" w:hAnsi="仿宋" w:eastAsia="仿宋" w:cs="仿宋"/>
          <w:b/>
          <w:bCs/>
          <w:color w:val="161616"/>
          <w:spacing w:val="10"/>
          <w:sz w:val="32"/>
          <w:szCs w:val="32"/>
        </w:rPr>
        <w:t>严格管理，控制“三公”经费和公用经费支出</w:t>
      </w:r>
      <w:r>
        <w:rPr>
          <w:rFonts w:hint="eastAsia" w:ascii="仿宋" w:hAnsi="仿宋" w:eastAsia="仿宋" w:cs="仿宋"/>
          <w:color w:val="161616"/>
          <w:spacing w:val="10"/>
          <w:sz w:val="32"/>
          <w:szCs w:val="32"/>
        </w:rPr>
        <w:t>。认真贯彻落实中央八项规定和省委、市委</w:t>
      </w:r>
      <w:r>
        <w:rPr>
          <w:rFonts w:hint="eastAsia" w:ascii="仿宋" w:hAnsi="仿宋" w:eastAsia="仿宋" w:cs="仿宋"/>
          <w:color w:val="161616"/>
          <w:spacing w:val="10"/>
          <w:sz w:val="32"/>
          <w:szCs w:val="32"/>
          <w:lang w:val="en-US" w:eastAsia="zh-CN"/>
        </w:rPr>
        <w:t>十</w:t>
      </w:r>
      <w:r>
        <w:rPr>
          <w:rFonts w:hint="eastAsia" w:ascii="仿宋" w:hAnsi="仿宋" w:eastAsia="仿宋" w:cs="仿宋"/>
          <w:color w:val="161616"/>
          <w:spacing w:val="10"/>
          <w:sz w:val="32"/>
          <w:szCs w:val="32"/>
        </w:rPr>
        <w:t>项规定，切实加强“三公”经费和会议费、培训费管理，严格按照规定开支有关经费，确保单位“三公”经费只减不增。</w:t>
      </w:r>
    </w:p>
    <w:p w14:paraId="40FF6567">
      <w:pPr>
        <w:keepNext w:val="0"/>
        <w:keepLines w:val="0"/>
        <w:pageBreakBefore w:val="0"/>
        <w:widowControl w:val="0"/>
        <w:kinsoku/>
        <w:wordWrap/>
        <w:overflowPunct/>
        <w:topLinePunct w:val="0"/>
        <w:autoSpaceDE/>
        <w:autoSpaceDN/>
        <w:bidi w:val="0"/>
        <w:adjustRightInd/>
        <w:snapToGrid/>
        <w:spacing w:line="600" w:lineRule="exact"/>
        <w:ind w:left="0" w:right="0" w:firstLine="683" w:firstLineChars="200"/>
        <w:textAlignment w:val="auto"/>
        <w:rPr>
          <w:rFonts w:hint="eastAsia" w:ascii="仿宋" w:hAnsi="仿宋" w:eastAsia="仿宋" w:cs="仿宋"/>
          <w:color w:val="161616"/>
          <w:spacing w:val="10"/>
          <w:sz w:val="32"/>
          <w:szCs w:val="32"/>
        </w:rPr>
      </w:pPr>
      <w:r>
        <w:rPr>
          <w:rFonts w:hint="eastAsia" w:ascii="仿宋" w:hAnsi="仿宋" w:eastAsia="仿宋" w:cs="仿宋"/>
          <w:b/>
          <w:bCs/>
          <w:color w:val="161616"/>
          <w:spacing w:val="10"/>
          <w:sz w:val="32"/>
          <w:szCs w:val="32"/>
          <w:lang w:val="en-US" w:eastAsia="zh-CN"/>
        </w:rPr>
        <w:t>3</w:t>
      </w:r>
      <w:r>
        <w:rPr>
          <w:rFonts w:hint="eastAsia" w:ascii="仿宋" w:hAnsi="仿宋" w:eastAsia="仿宋" w:cs="仿宋"/>
          <w:b/>
          <w:bCs/>
          <w:color w:val="161616"/>
          <w:spacing w:val="10"/>
          <w:sz w:val="32"/>
          <w:szCs w:val="32"/>
        </w:rPr>
        <w:t>、规范财务运行，加强预算支出管理。</w:t>
      </w:r>
      <w:r>
        <w:rPr>
          <w:rFonts w:hint="eastAsia" w:ascii="仿宋" w:hAnsi="仿宋" w:eastAsia="仿宋" w:cs="仿宋"/>
          <w:color w:val="161616"/>
          <w:spacing w:val="10"/>
          <w:sz w:val="32"/>
          <w:szCs w:val="32"/>
        </w:rPr>
        <w:t>严格遵循“先有预算、后有支出”的原则，在资金支付管理方面，严格按照规定程序向财政部门申请用款，在财政部门批复的支出预算资金范围内申请使用一般预算支出经费。建立健全并认真执行各项资金使用管理制度，建立内部控制机制，资金使用严格履行审批程序，确保资金支出合法、真实。严格落实会计核算、报销审批制度，加强对资金使用环节的监督。</w:t>
      </w:r>
    </w:p>
    <w:p w14:paraId="51DE7B52">
      <w:pPr>
        <w:keepNext w:val="0"/>
        <w:keepLines w:val="0"/>
        <w:pageBreakBefore w:val="0"/>
        <w:widowControl w:val="0"/>
        <w:kinsoku/>
        <w:wordWrap/>
        <w:overflowPunct/>
        <w:topLinePunct w:val="0"/>
        <w:autoSpaceDE/>
        <w:autoSpaceDN/>
        <w:bidi w:val="0"/>
        <w:adjustRightInd/>
        <w:snapToGrid/>
        <w:spacing w:line="600" w:lineRule="exact"/>
        <w:ind w:left="0" w:right="0" w:firstLine="640" w:firstLineChars="200"/>
        <w:textAlignment w:val="auto"/>
        <w:rPr>
          <w:rFonts w:hint="default"/>
          <w:lang w:val="en-US" w:eastAsia="zh-CN"/>
        </w:rPr>
      </w:pPr>
    </w:p>
    <w:p w14:paraId="6BB41F2E">
      <w:pPr>
        <w:bidi w:val="0"/>
        <w:rPr>
          <w:rFonts w:hint="eastAsia"/>
          <w:lang w:val="en-US" w:eastAsia="zh-CN"/>
        </w:rPr>
      </w:pPr>
    </w:p>
    <w:p w14:paraId="4B82D0F4">
      <w:pPr>
        <w:bidi w:val="0"/>
        <w:ind w:firstLine="640" w:firstLineChars="200"/>
        <w:rPr>
          <w:rFonts w:hint="eastAsia" w:ascii="黑体" w:hAnsi="黑体" w:eastAsia="黑体" w:cs="黑体"/>
          <w:lang w:val="en-US" w:eastAsia="zh-CN"/>
        </w:rPr>
      </w:pPr>
      <w:r>
        <w:rPr>
          <w:rFonts w:hint="eastAsia" w:ascii="黑体" w:hAnsi="黑体" w:eastAsia="黑体" w:cs="黑体"/>
          <w:lang w:val="en-US" w:eastAsia="zh-CN"/>
        </w:rPr>
        <w:t>二、2022年度项目绩效评价报告</w:t>
      </w:r>
    </w:p>
    <w:p w14:paraId="3AB09F0D">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default" w:eastAsia="黑体" w:asciiTheme="minorAscii" w:hAnsiTheme="minorAscii"/>
          <w:sz w:val="32"/>
          <w:lang w:val="en-US" w:eastAsia="zh-CN"/>
        </w:rPr>
      </w:pPr>
      <w:r>
        <w:rPr>
          <w:rFonts w:hint="eastAsia"/>
          <w:lang w:val="en-US" w:eastAsia="zh-CN"/>
        </w:rPr>
        <w:t xml:space="preserve">    </w:t>
      </w:r>
      <w:r>
        <w:rPr>
          <w:rFonts w:hint="default" w:eastAsia="黑体" w:asciiTheme="minorAscii" w:hAnsiTheme="minorAscii"/>
          <w:sz w:val="32"/>
          <w:lang w:val="en-US" w:eastAsia="zh-CN"/>
        </w:rPr>
        <w:t>一、基本情况</w:t>
      </w:r>
    </w:p>
    <w:p w14:paraId="728D1633">
      <w:pPr>
        <w:keepNext w:val="0"/>
        <w:keepLines w:val="0"/>
        <w:pageBreakBefore w:val="0"/>
        <w:widowControl w:val="0"/>
        <w:kinsoku/>
        <w:wordWrap/>
        <w:overflowPunct/>
        <w:topLinePunct w:val="0"/>
        <w:autoSpaceDE/>
        <w:autoSpaceDN/>
        <w:bidi w:val="0"/>
        <w:adjustRightInd/>
        <w:snapToGrid/>
        <w:ind w:firstLine="643" w:firstLineChars="200"/>
        <w:textAlignment w:val="auto"/>
        <w:rPr>
          <w:rFonts w:hint="default" w:eastAsia="楷体" w:asciiTheme="minorAscii" w:hAnsiTheme="minorAscii"/>
          <w:b/>
          <w:bCs/>
          <w:sz w:val="32"/>
        </w:rPr>
      </w:pPr>
      <w:r>
        <w:rPr>
          <w:rFonts w:hint="default" w:eastAsia="楷体" w:asciiTheme="minorAscii" w:hAnsiTheme="minorAscii"/>
          <w:b/>
          <w:bCs/>
          <w:sz w:val="32"/>
        </w:rPr>
        <w:t>（一）项目概况</w:t>
      </w:r>
    </w:p>
    <w:p w14:paraId="5680B29A">
      <w:pPr>
        <w:keepNext w:val="0"/>
        <w:keepLines w:val="0"/>
        <w:pageBreakBefore w:val="0"/>
        <w:widowControl w:val="0"/>
        <w:kinsoku/>
        <w:wordWrap/>
        <w:overflowPunct/>
        <w:topLinePunct w:val="0"/>
        <w:autoSpaceDE/>
        <w:autoSpaceDN/>
        <w:bidi w:val="0"/>
        <w:adjustRightInd/>
        <w:snapToGrid/>
        <w:ind w:firstLine="643" w:firstLineChars="200"/>
        <w:textAlignment w:val="auto"/>
        <w:rPr>
          <w:rFonts w:hint="default" w:eastAsia="仿宋" w:asciiTheme="minorAscii" w:hAnsiTheme="minorAscii"/>
          <w:b/>
          <w:sz w:val="32"/>
          <w:lang w:val="en-US" w:eastAsia="zh-CN"/>
        </w:rPr>
      </w:pPr>
      <w:r>
        <w:rPr>
          <w:rFonts w:hint="default" w:eastAsia="仿宋" w:asciiTheme="minorAscii" w:hAnsiTheme="minorAscii"/>
          <w:b/>
          <w:sz w:val="32"/>
          <w:lang w:val="en-US" w:eastAsia="zh-CN"/>
        </w:rPr>
        <w:t>1.项目立项的背景</w:t>
      </w:r>
    </w:p>
    <w:p w14:paraId="072B5587">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default" w:eastAsia="仿宋" w:asciiTheme="minorAscii" w:hAnsiTheme="minorAscii"/>
          <w:sz w:val="32"/>
          <w:lang w:val="en-US" w:eastAsia="zh-CN"/>
        </w:rPr>
      </w:pPr>
      <w:r>
        <w:rPr>
          <w:rFonts w:hint="default" w:eastAsia="仿宋" w:asciiTheme="minorAscii" w:hAnsiTheme="minorAscii"/>
          <w:sz w:val="32"/>
        </w:rPr>
        <w:t>为协助</w:t>
      </w:r>
      <w:r>
        <w:rPr>
          <w:rFonts w:hint="default" w:eastAsia="仿宋" w:asciiTheme="minorAscii" w:hAnsiTheme="minorAscii"/>
          <w:sz w:val="32"/>
          <w:lang w:val="en-US" w:eastAsia="zh-CN"/>
        </w:rPr>
        <w:t>市委市政府</w:t>
      </w:r>
      <w:r>
        <w:rPr>
          <w:rFonts w:hint="default" w:eastAsia="仿宋" w:asciiTheme="minorAscii" w:hAnsiTheme="minorAscii"/>
          <w:sz w:val="32"/>
        </w:rPr>
        <w:t>抓好党的路线、方针、政策和</w:t>
      </w:r>
      <w:r>
        <w:rPr>
          <w:rFonts w:hint="default" w:eastAsia="仿宋" w:asciiTheme="minorAscii" w:hAnsiTheme="minorAscii"/>
          <w:sz w:val="32"/>
          <w:lang w:val="en-US" w:eastAsia="zh-CN"/>
        </w:rPr>
        <w:t>市</w:t>
      </w:r>
      <w:r>
        <w:rPr>
          <w:rFonts w:hint="default" w:eastAsia="仿宋" w:asciiTheme="minorAscii" w:hAnsiTheme="minorAscii"/>
          <w:sz w:val="32"/>
        </w:rPr>
        <w:t>委</w:t>
      </w:r>
      <w:r>
        <w:rPr>
          <w:rFonts w:hint="default" w:eastAsia="仿宋" w:asciiTheme="minorAscii" w:hAnsiTheme="minorAscii"/>
          <w:sz w:val="32"/>
          <w:lang w:eastAsia="zh-CN"/>
        </w:rPr>
        <w:t>、</w:t>
      </w:r>
      <w:r>
        <w:rPr>
          <w:rFonts w:hint="default" w:eastAsia="仿宋" w:asciiTheme="minorAscii" w:hAnsiTheme="minorAscii"/>
          <w:sz w:val="32"/>
          <w:lang w:val="en-US" w:eastAsia="zh-CN"/>
        </w:rPr>
        <w:t>市政府</w:t>
      </w:r>
      <w:r>
        <w:rPr>
          <w:rFonts w:hint="default" w:eastAsia="仿宋" w:asciiTheme="minorAscii" w:hAnsiTheme="minorAscii"/>
          <w:sz w:val="32"/>
        </w:rPr>
        <w:t>重大决策、重要工作部署、重要会议精神的贯彻落实</w:t>
      </w:r>
      <w:r>
        <w:rPr>
          <w:rFonts w:hint="default" w:eastAsia="仿宋" w:asciiTheme="minorAscii" w:hAnsiTheme="minorAscii"/>
          <w:sz w:val="32"/>
          <w:lang w:eastAsia="zh-CN"/>
        </w:rPr>
        <w:t>，</w:t>
      </w:r>
      <w:r>
        <w:rPr>
          <w:rFonts w:hint="default" w:eastAsia="仿宋" w:asciiTheme="minorAscii" w:hAnsiTheme="minorAscii"/>
          <w:sz w:val="32"/>
        </w:rPr>
        <w:t>处理</w:t>
      </w:r>
      <w:r>
        <w:rPr>
          <w:rFonts w:hint="default" w:eastAsia="仿宋" w:asciiTheme="minorAscii" w:hAnsiTheme="minorAscii"/>
          <w:sz w:val="32"/>
          <w:lang w:val="en-US" w:eastAsia="zh-CN"/>
        </w:rPr>
        <w:t>镇党委、政府</w:t>
      </w:r>
      <w:r>
        <w:rPr>
          <w:rFonts w:hint="default" w:eastAsia="仿宋" w:asciiTheme="minorAscii" w:hAnsiTheme="minorAscii"/>
          <w:sz w:val="32"/>
        </w:rPr>
        <w:t>日常工作事务，提升工作质量和效率，</w:t>
      </w:r>
      <w:r>
        <w:rPr>
          <w:rFonts w:hint="default" w:eastAsia="仿宋" w:asciiTheme="minorAscii" w:hAnsiTheme="minorAscii"/>
          <w:sz w:val="32"/>
          <w:lang w:val="en-US" w:eastAsia="zh-CN"/>
        </w:rPr>
        <w:t>促进地方社会事务和经济的全面发展。</w:t>
      </w:r>
    </w:p>
    <w:p w14:paraId="1CBF8179">
      <w:pPr>
        <w:keepNext w:val="0"/>
        <w:keepLines w:val="0"/>
        <w:pageBreakBefore w:val="0"/>
        <w:widowControl w:val="0"/>
        <w:kinsoku/>
        <w:wordWrap/>
        <w:overflowPunct/>
        <w:topLinePunct w:val="0"/>
        <w:autoSpaceDE/>
        <w:autoSpaceDN/>
        <w:bidi w:val="0"/>
        <w:adjustRightInd/>
        <w:snapToGrid/>
        <w:ind w:firstLine="643" w:firstLineChars="200"/>
        <w:textAlignment w:val="auto"/>
        <w:rPr>
          <w:rFonts w:hint="default" w:eastAsia="仿宋" w:asciiTheme="minorAscii" w:hAnsiTheme="minorAscii"/>
          <w:b/>
          <w:sz w:val="32"/>
          <w:lang w:val="en-US" w:eastAsia="zh-CN"/>
        </w:rPr>
      </w:pPr>
      <w:r>
        <w:rPr>
          <w:rFonts w:hint="default" w:eastAsia="仿宋" w:asciiTheme="minorAscii" w:hAnsiTheme="minorAscii"/>
          <w:b/>
          <w:sz w:val="32"/>
          <w:lang w:val="en-US" w:eastAsia="zh-CN"/>
        </w:rPr>
        <w:t>2.项目主要内容及实施情况</w:t>
      </w:r>
    </w:p>
    <w:p w14:paraId="584F9832">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default" w:eastAsia="仿宋" w:asciiTheme="minorAscii" w:hAnsiTheme="minorAscii"/>
          <w:sz w:val="32"/>
        </w:rPr>
      </w:pPr>
      <w:r>
        <w:rPr>
          <w:rFonts w:hint="default" w:eastAsia="仿宋" w:asciiTheme="minorAscii" w:hAnsiTheme="minorAscii"/>
          <w:sz w:val="32"/>
        </w:rPr>
        <w:t>围绕</w:t>
      </w:r>
      <w:r>
        <w:rPr>
          <w:rFonts w:hint="default" w:eastAsia="仿宋" w:asciiTheme="minorAscii" w:hAnsiTheme="minorAscii"/>
          <w:sz w:val="32"/>
          <w:lang w:val="en-US" w:eastAsia="zh-CN"/>
        </w:rPr>
        <w:t>市</w:t>
      </w:r>
      <w:r>
        <w:rPr>
          <w:rFonts w:hint="default" w:eastAsia="仿宋" w:asciiTheme="minorAscii" w:hAnsiTheme="minorAscii"/>
          <w:sz w:val="32"/>
        </w:rPr>
        <w:t>委</w:t>
      </w:r>
      <w:r>
        <w:rPr>
          <w:rFonts w:hint="default" w:eastAsia="仿宋" w:asciiTheme="minorAscii" w:hAnsiTheme="minorAscii"/>
          <w:sz w:val="32"/>
          <w:lang w:eastAsia="zh-CN"/>
        </w:rPr>
        <w:t>、</w:t>
      </w:r>
      <w:r>
        <w:rPr>
          <w:rFonts w:hint="default" w:eastAsia="仿宋" w:asciiTheme="minorAscii" w:hAnsiTheme="minorAscii"/>
          <w:sz w:val="32"/>
          <w:lang w:val="en-US" w:eastAsia="zh-CN"/>
        </w:rPr>
        <w:t>市政府</w:t>
      </w:r>
      <w:r>
        <w:rPr>
          <w:rFonts w:hint="default" w:eastAsia="仿宋" w:asciiTheme="minorAscii" w:hAnsiTheme="minorAscii"/>
          <w:sz w:val="32"/>
        </w:rPr>
        <w:t>中心工作，协助</w:t>
      </w:r>
      <w:r>
        <w:rPr>
          <w:rFonts w:hint="default" w:eastAsia="仿宋" w:asciiTheme="minorAscii" w:hAnsiTheme="minorAscii"/>
          <w:sz w:val="32"/>
          <w:lang w:val="en-US" w:eastAsia="zh-CN"/>
        </w:rPr>
        <w:t>市</w:t>
      </w:r>
      <w:r>
        <w:rPr>
          <w:rFonts w:hint="default" w:eastAsia="仿宋" w:asciiTheme="minorAscii" w:hAnsiTheme="minorAscii"/>
          <w:sz w:val="32"/>
        </w:rPr>
        <w:t>委</w:t>
      </w:r>
      <w:r>
        <w:rPr>
          <w:rFonts w:hint="default" w:eastAsia="仿宋" w:asciiTheme="minorAscii" w:hAnsiTheme="minorAscii"/>
          <w:sz w:val="32"/>
          <w:lang w:eastAsia="zh-CN"/>
        </w:rPr>
        <w:t>、</w:t>
      </w:r>
      <w:r>
        <w:rPr>
          <w:rFonts w:hint="default" w:eastAsia="仿宋" w:asciiTheme="minorAscii" w:hAnsiTheme="minorAscii"/>
          <w:sz w:val="32"/>
          <w:lang w:val="en-US" w:eastAsia="zh-CN"/>
        </w:rPr>
        <w:t>市政府</w:t>
      </w:r>
      <w:r>
        <w:rPr>
          <w:rFonts w:hint="default" w:eastAsia="仿宋" w:asciiTheme="minorAscii" w:hAnsiTheme="minorAscii"/>
          <w:sz w:val="32"/>
        </w:rPr>
        <w:t>抓好党的路线、方针、政策和州</w:t>
      </w:r>
      <w:r>
        <w:rPr>
          <w:rFonts w:hint="default" w:eastAsia="仿宋" w:asciiTheme="minorAscii" w:hAnsiTheme="minorAscii"/>
          <w:sz w:val="32"/>
          <w:lang w:val="en-US" w:eastAsia="zh-CN"/>
        </w:rPr>
        <w:t>市</w:t>
      </w:r>
      <w:r>
        <w:rPr>
          <w:rFonts w:hint="default" w:eastAsia="仿宋" w:asciiTheme="minorAscii" w:hAnsiTheme="minorAscii"/>
          <w:sz w:val="32"/>
        </w:rPr>
        <w:t>委重大决策、重要工作部署、重要会议精神的贯彻落实，处理</w:t>
      </w:r>
      <w:r>
        <w:rPr>
          <w:rFonts w:hint="default" w:eastAsia="仿宋" w:asciiTheme="minorAscii" w:hAnsiTheme="minorAscii"/>
          <w:sz w:val="32"/>
          <w:lang w:val="en-US" w:eastAsia="zh-CN"/>
        </w:rPr>
        <w:t>镇党委、政府</w:t>
      </w:r>
      <w:r>
        <w:rPr>
          <w:rFonts w:hint="default" w:eastAsia="仿宋" w:asciiTheme="minorAscii" w:hAnsiTheme="minorAscii"/>
          <w:sz w:val="32"/>
        </w:rPr>
        <w:t>日常工作事务，提升工作质量和效率，</w:t>
      </w:r>
      <w:r>
        <w:rPr>
          <w:rFonts w:hint="default" w:eastAsia="仿宋" w:asciiTheme="minorAscii" w:hAnsiTheme="minorAscii"/>
          <w:sz w:val="32"/>
          <w:lang w:val="en-US" w:eastAsia="zh-CN"/>
        </w:rPr>
        <w:t>围绕城乡建设，乡村发展，工业园建设等</w:t>
      </w:r>
      <w:r>
        <w:rPr>
          <w:rFonts w:hint="default" w:eastAsia="仿宋" w:asciiTheme="minorAscii" w:hAnsiTheme="minorAscii"/>
          <w:sz w:val="32"/>
        </w:rPr>
        <w:t>重点项目集中开工</w:t>
      </w:r>
      <w:r>
        <w:rPr>
          <w:rFonts w:hint="default" w:eastAsia="仿宋" w:asciiTheme="minorAscii" w:hAnsiTheme="minorAscii"/>
          <w:sz w:val="32"/>
          <w:lang w:eastAsia="zh-CN"/>
        </w:rPr>
        <w:t>，</w:t>
      </w:r>
      <w:r>
        <w:rPr>
          <w:rFonts w:hint="default" w:eastAsia="仿宋" w:asciiTheme="minorAscii" w:hAnsiTheme="minorAscii"/>
          <w:sz w:val="32"/>
          <w:lang w:val="en-US" w:eastAsia="zh-CN"/>
        </w:rPr>
        <w:t>促进社会事务和经济高速发展的顺利实施</w:t>
      </w:r>
      <w:r>
        <w:rPr>
          <w:rFonts w:hint="default" w:eastAsia="仿宋" w:asciiTheme="minorAscii" w:hAnsiTheme="minorAscii"/>
          <w:sz w:val="32"/>
        </w:rPr>
        <w:t>等工作正常开展。资金投入和使用情况</w:t>
      </w:r>
      <w:r>
        <w:rPr>
          <w:rFonts w:hint="eastAsia" w:eastAsia="仿宋" w:asciiTheme="minorAscii" w:hAnsiTheme="minorAscii"/>
          <w:sz w:val="32"/>
          <w:lang w:eastAsia="zh-CN"/>
        </w:rPr>
        <w:t>，</w:t>
      </w:r>
      <w:r>
        <w:rPr>
          <w:rFonts w:hint="default" w:eastAsia="仿宋" w:asciiTheme="minorAscii" w:hAnsiTheme="minorAscii"/>
          <w:sz w:val="32"/>
          <w:lang w:val="en-US" w:eastAsia="zh-CN"/>
        </w:rPr>
        <w:t>项</w:t>
      </w:r>
      <w:r>
        <w:rPr>
          <w:rFonts w:hint="default" w:eastAsia="仿宋" w:asciiTheme="minorAscii" w:hAnsiTheme="minorAscii"/>
          <w:sz w:val="32"/>
        </w:rPr>
        <w:t>目预算资金15万元，项目计划到位资金15万元，实际到位15万元，资金到位率100%；实际支出14.92万元，项目资金使用率99.47%。</w:t>
      </w:r>
    </w:p>
    <w:p w14:paraId="2DB78DFF">
      <w:pPr>
        <w:keepNext w:val="0"/>
        <w:keepLines w:val="0"/>
        <w:pageBreakBefore w:val="0"/>
        <w:widowControl w:val="0"/>
        <w:kinsoku/>
        <w:wordWrap/>
        <w:overflowPunct/>
        <w:topLinePunct w:val="0"/>
        <w:autoSpaceDE/>
        <w:autoSpaceDN/>
        <w:bidi w:val="0"/>
        <w:adjustRightInd/>
        <w:snapToGrid/>
        <w:ind w:firstLine="643" w:firstLineChars="200"/>
        <w:textAlignment w:val="auto"/>
        <w:rPr>
          <w:rFonts w:hint="default" w:eastAsia="楷体" w:asciiTheme="minorAscii" w:hAnsiTheme="minorAscii"/>
          <w:b/>
          <w:bCs/>
          <w:sz w:val="32"/>
        </w:rPr>
      </w:pPr>
      <w:r>
        <w:rPr>
          <w:rFonts w:hint="default" w:eastAsia="楷体" w:asciiTheme="minorAscii" w:hAnsiTheme="minorAscii"/>
          <w:b/>
          <w:bCs/>
          <w:sz w:val="32"/>
        </w:rPr>
        <w:t>（二）项目绩效目标</w:t>
      </w:r>
    </w:p>
    <w:p w14:paraId="48384845">
      <w:pPr>
        <w:keepNext w:val="0"/>
        <w:keepLines w:val="0"/>
        <w:pageBreakBefore w:val="0"/>
        <w:widowControl w:val="0"/>
        <w:kinsoku/>
        <w:wordWrap/>
        <w:overflowPunct/>
        <w:topLinePunct w:val="0"/>
        <w:autoSpaceDE/>
        <w:autoSpaceDN/>
        <w:bidi w:val="0"/>
        <w:adjustRightInd/>
        <w:snapToGrid/>
        <w:ind w:firstLine="643" w:firstLineChars="200"/>
        <w:textAlignment w:val="auto"/>
        <w:rPr>
          <w:rFonts w:hint="default" w:eastAsia="仿宋" w:asciiTheme="minorAscii" w:hAnsiTheme="minorAscii"/>
          <w:b/>
          <w:sz w:val="32"/>
          <w:lang w:val="en-US" w:eastAsia="zh-CN"/>
        </w:rPr>
      </w:pPr>
      <w:r>
        <w:rPr>
          <w:rFonts w:hint="default" w:eastAsia="仿宋" w:asciiTheme="minorAscii" w:hAnsiTheme="minorAscii"/>
          <w:b/>
          <w:sz w:val="32"/>
          <w:lang w:val="en-US" w:eastAsia="zh-CN"/>
        </w:rPr>
        <w:t>1.总体目标</w:t>
      </w:r>
      <w:r>
        <w:rPr>
          <w:rFonts w:hint="eastAsia" w:eastAsia="仿宋" w:asciiTheme="minorAscii" w:hAnsiTheme="minorAscii"/>
          <w:b/>
          <w:sz w:val="32"/>
          <w:lang w:val="en-US" w:eastAsia="zh-CN"/>
        </w:rPr>
        <w:t>；</w:t>
      </w:r>
    </w:p>
    <w:p w14:paraId="183CB973">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default" w:eastAsia="仿宋" w:asciiTheme="minorAscii" w:hAnsiTheme="minorAscii"/>
          <w:sz w:val="32"/>
        </w:rPr>
      </w:pPr>
      <w:r>
        <w:rPr>
          <w:rFonts w:hint="default" w:eastAsia="仿宋" w:asciiTheme="minorAscii" w:hAnsiTheme="minorAscii"/>
          <w:sz w:val="32"/>
        </w:rPr>
        <w:t>把握国家宏观调控政策动态，扎实开展项目的谋划、储备、推进、衔接工作，争取一批项目进入国家、省级计划盘子，争取更多项目资金支持，为经济社会发展提供有力的保障；进一步完善</w:t>
      </w:r>
      <w:r>
        <w:rPr>
          <w:rFonts w:hint="default" w:eastAsia="仿宋" w:asciiTheme="minorAscii" w:hAnsiTheme="minorAscii"/>
          <w:sz w:val="32"/>
          <w:lang w:val="en-US" w:eastAsia="zh-CN"/>
        </w:rPr>
        <w:t>城乡公共设施，生态环境保护能力，地方第一，第二，第三产业键的长效发展，</w:t>
      </w:r>
      <w:r>
        <w:rPr>
          <w:rFonts w:hint="default" w:eastAsia="仿宋" w:asciiTheme="minorAscii" w:hAnsiTheme="minorAscii"/>
          <w:sz w:val="32"/>
        </w:rPr>
        <w:t>做好“谋发展、促改革、抓项目，促投资”等中心工作，提高工作效率；保障</w:t>
      </w:r>
      <w:r>
        <w:rPr>
          <w:rFonts w:hint="default" w:eastAsia="仿宋" w:asciiTheme="minorAscii" w:hAnsiTheme="minorAscii"/>
          <w:sz w:val="32"/>
          <w:lang w:val="en-US" w:eastAsia="zh-CN"/>
        </w:rPr>
        <w:t>地方行政运行，社会事务，经济发展的</w:t>
      </w:r>
      <w:r>
        <w:rPr>
          <w:rFonts w:hint="default" w:eastAsia="仿宋" w:asciiTheme="minorAscii" w:hAnsiTheme="minorAscii"/>
          <w:sz w:val="32"/>
        </w:rPr>
        <w:t>正常开展。</w:t>
      </w:r>
    </w:p>
    <w:p w14:paraId="7B53459D">
      <w:pPr>
        <w:keepNext w:val="0"/>
        <w:keepLines w:val="0"/>
        <w:pageBreakBefore w:val="0"/>
        <w:widowControl w:val="0"/>
        <w:kinsoku/>
        <w:wordWrap/>
        <w:overflowPunct/>
        <w:topLinePunct w:val="0"/>
        <w:autoSpaceDE/>
        <w:autoSpaceDN/>
        <w:bidi w:val="0"/>
        <w:adjustRightInd/>
        <w:snapToGrid/>
        <w:ind w:firstLine="643" w:firstLineChars="200"/>
        <w:textAlignment w:val="auto"/>
        <w:rPr>
          <w:rFonts w:hint="default" w:eastAsia="仿宋" w:asciiTheme="minorAscii" w:hAnsiTheme="minorAscii"/>
          <w:b/>
          <w:sz w:val="32"/>
          <w:lang w:val="en-US" w:eastAsia="zh-CN"/>
        </w:rPr>
      </w:pPr>
      <w:r>
        <w:rPr>
          <w:rFonts w:hint="default" w:eastAsia="仿宋" w:asciiTheme="minorAscii" w:hAnsiTheme="minorAscii"/>
          <w:b/>
          <w:sz w:val="32"/>
          <w:lang w:val="en-US" w:eastAsia="zh-CN"/>
        </w:rPr>
        <w:t>2.阶段性目标</w:t>
      </w:r>
      <w:r>
        <w:rPr>
          <w:rFonts w:hint="eastAsia" w:eastAsia="仿宋" w:asciiTheme="minorAscii" w:hAnsiTheme="minorAscii"/>
          <w:b/>
          <w:sz w:val="32"/>
          <w:lang w:val="en-US" w:eastAsia="zh-CN"/>
        </w:rPr>
        <w:t>；</w:t>
      </w:r>
    </w:p>
    <w:p w14:paraId="2A720D64">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default" w:eastAsia="仿宋" w:asciiTheme="minorAscii" w:hAnsiTheme="minorAscii"/>
          <w:sz w:val="32"/>
        </w:rPr>
      </w:pPr>
      <w:r>
        <w:rPr>
          <w:rFonts w:hint="default" w:eastAsia="仿宋" w:asciiTheme="minorAscii" w:hAnsiTheme="minorAscii"/>
          <w:sz w:val="32"/>
        </w:rPr>
        <w:t>聚焦经济运行态势，加快县域经济发展；进一步加强项目管理，积极抓好资金争取工作；强化协调与服务，全力抓好固定资产投资；保障日常基本工作的正常开展。</w:t>
      </w:r>
    </w:p>
    <w:p w14:paraId="6D5CAAF5">
      <w:pPr>
        <w:keepNext w:val="0"/>
        <w:keepLines w:val="0"/>
        <w:pageBreakBefore w:val="0"/>
        <w:widowControl w:val="0"/>
        <w:kinsoku/>
        <w:wordWrap/>
        <w:overflowPunct/>
        <w:topLinePunct w:val="0"/>
        <w:autoSpaceDE/>
        <w:autoSpaceDN/>
        <w:bidi w:val="0"/>
        <w:adjustRightInd/>
        <w:snapToGrid/>
        <w:ind w:firstLine="643" w:firstLineChars="200"/>
        <w:textAlignment w:val="auto"/>
        <w:rPr>
          <w:rFonts w:hint="default" w:eastAsia="楷体" w:asciiTheme="minorAscii" w:hAnsiTheme="minorAscii"/>
          <w:b/>
          <w:bCs/>
          <w:sz w:val="32"/>
        </w:rPr>
      </w:pPr>
      <w:r>
        <w:rPr>
          <w:rFonts w:hint="default" w:eastAsia="楷体" w:asciiTheme="minorAscii" w:hAnsiTheme="minorAscii"/>
          <w:b/>
          <w:bCs/>
          <w:sz w:val="32"/>
        </w:rPr>
        <w:t>（三）项目组织管理情况</w:t>
      </w:r>
    </w:p>
    <w:p w14:paraId="3ED657C6">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default" w:eastAsia="仿宋" w:asciiTheme="minorAscii" w:hAnsiTheme="minorAscii"/>
          <w:sz w:val="32"/>
        </w:rPr>
      </w:pPr>
      <w:r>
        <w:rPr>
          <w:rFonts w:hint="default" w:eastAsia="仿宋" w:asciiTheme="minorAscii" w:hAnsiTheme="minorAscii"/>
          <w:sz w:val="32"/>
          <w:lang w:val="en-US" w:eastAsia="zh-CN"/>
        </w:rPr>
        <w:t>镇政府</w:t>
      </w:r>
      <w:r>
        <w:rPr>
          <w:rFonts w:hint="default" w:eastAsia="仿宋" w:asciiTheme="minorAscii" w:hAnsiTheme="minorAscii"/>
          <w:sz w:val="32"/>
        </w:rPr>
        <w:t>项目经费在使用过程中严格执行财务管理制度，每一笔经济业务都按照程序进行审批，实行项目专项管理。对于重大的业务和重大资金支出事项，实行集体研究决策决定。对项目实施进度进行跟踪督促，年中开展项目监控自评，确保项目顺利完成。</w:t>
      </w:r>
    </w:p>
    <w:p w14:paraId="73DB567C">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default" w:eastAsia="黑体" w:asciiTheme="minorAscii" w:hAnsiTheme="minorAscii"/>
          <w:sz w:val="32"/>
          <w:lang w:val="en-US" w:eastAsia="zh-CN"/>
        </w:rPr>
      </w:pPr>
      <w:r>
        <w:rPr>
          <w:rFonts w:hint="default" w:eastAsia="黑体" w:asciiTheme="minorAscii" w:hAnsiTheme="minorAscii"/>
          <w:sz w:val="32"/>
          <w:lang w:val="en-US" w:eastAsia="zh-CN"/>
        </w:rPr>
        <w:t>二、绩效评价工作开展情况</w:t>
      </w:r>
    </w:p>
    <w:p w14:paraId="2CC312E4">
      <w:pPr>
        <w:keepNext w:val="0"/>
        <w:keepLines w:val="0"/>
        <w:pageBreakBefore w:val="0"/>
        <w:widowControl w:val="0"/>
        <w:kinsoku/>
        <w:wordWrap/>
        <w:overflowPunct/>
        <w:topLinePunct w:val="0"/>
        <w:autoSpaceDE/>
        <w:autoSpaceDN/>
        <w:bidi w:val="0"/>
        <w:adjustRightInd/>
        <w:snapToGrid/>
        <w:ind w:firstLine="643" w:firstLineChars="200"/>
        <w:textAlignment w:val="auto"/>
        <w:rPr>
          <w:rFonts w:hint="default" w:eastAsia="楷体" w:asciiTheme="minorAscii" w:hAnsiTheme="minorAscii"/>
          <w:b/>
          <w:bCs/>
          <w:sz w:val="32"/>
        </w:rPr>
      </w:pPr>
      <w:r>
        <w:rPr>
          <w:rFonts w:hint="default" w:eastAsia="楷体" w:asciiTheme="minorAscii" w:hAnsiTheme="minorAscii"/>
          <w:b/>
          <w:bCs/>
          <w:sz w:val="32"/>
        </w:rPr>
        <w:t>（一）绩效评价目的、对象和范围</w:t>
      </w:r>
    </w:p>
    <w:p w14:paraId="3D5B6353">
      <w:pPr>
        <w:keepNext w:val="0"/>
        <w:keepLines w:val="0"/>
        <w:pageBreakBefore w:val="0"/>
        <w:widowControl w:val="0"/>
        <w:kinsoku/>
        <w:wordWrap/>
        <w:overflowPunct/>
        <w:topLinePunct w:val="0"/>
        <w:autoSpaceDE/>
        <w:autoSpaceDN/>
        <w:bidi w:val="0"/>
        <w:adjustRightInd/>
        <w:snapToGrid/>
        <w:ind w:firstLine="643" w:firstLineChars="200"/>
        <w:textAlignment w:val="auto"/>
        <w:rPr>
          <w:rFonts w:hint="default" w:eastAsia="仿宋" w:asciiTheme="minorAscii" w:hAnsiTheme="minorAscii"/>
          <w:b/>
          <w:sz w:val="32"/>
          <w:lang w:val="en-US" w:eastAsia="zh-CN"/>
        </w:rPr>
      </w:pPr>
      <w:r>
        <w:rPr>
          <w:rFonts w:hint="default" w:eastAsia="仿宋" w:asciiTheme="minorAscii" w:hAnsiTheme="minorAscii"/>
          <w:b/>
          <w:sz w:val="32"/>
          <w:lang w:val="en-US" w:eastAsia="zh-CN"/>
        </w:rPr>
        <w:t>1.绩效评价目标</w:t>
      </w:r>
      <w:r>
        <w:rPr>
          <w:rFonts w:hint="eastAsia" w:eastAsia="仿宋" w:asciiTheme="minorAscii" w:hAnsiTheme="minorAscii"/>
          <w:b/>
          <w:sz w:val="32"/>
          <w:lang w:val="en-US" w:eastAsia="zh-CN"/>
        </w:rPr>
        <w:t>；</w:t>
      </w:r>
    </w:p>
    <w:p w14:paraId="0AA0EDC4">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default" w:eastAsia="仿宋" w:asciiTheme="minorAscii" w:hAnsiTheme="minorAscii"/>
          <w:sz w:val="32"/>
        </w:rPr>
      </w:pPr>
      <w:r>
        <w:rPr>
          <w:rFonts w:hint="default" w:eastAsia="仿宋" w:asciiTheme="minorAscii" w:hAnsiTheme="minorAscii"/>
          <w:sz w:val="32"/>
        </w:rPr>
        <w:t>（1）严格执行《预算法》，强化支出责任，提高项目资金使用效益，对项目支出情况开展绩效评价，践行“花钱必问效、无效必问责”。</w:t>
      </w:r>
    </w:p>
    <w:p w14:paraId="33A8CDF8">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default" w:eastAsia="仿宋" w:asciiTheme="minorAscii" w:hAnsiTheme="minorAscii"/>
          <w:sz w:val="32"/>
        </w:rPr>
      </w:pPr>
      <w:r>
        <w:rPr>
          <w:rFonts w:hint="default" w:eastAsia="仿宋" w:asciiTheme="minorAscii" w:hAnsiTheme="minorAscii"/>
          <w:sz w:val="32"/>
        </w:rPr>
        <w:t>（2）通过对</w:t>
      </w:r>
      <w:r>
        <w:rPr>
          <w:rFonts w:hint="default" w:eastAsia="仿宋" w:asciiTheme="minorAscii" w:hAnsiTheme="minorAscii"/>
          <w:sz w:val="32"/>
          <w:lang w:val="en-US" w:eastAsia="zh-CN"/>
        </w:rPr>
        <w:t>镇政府</w:t>
      </w:r>
      <w:r>
        <w:rPr>
          <w:rFonts w:hint="default" w:eastAsia="仿宋" w:asciiTheme="minorAscii" w:hAnsiTheme="minorAscii"/>
          <w:sz w:val="32"/>
        </w:rPr>
        <w:t>财政安排项目资金的绩效评价，进一步了解和掌握项目实施的具体情况，评价其项目资金安排的科学性、合理性、规范性和资金使用成效，及时总结项目管理经验，完善项目管理办法，提高项目管理水平和资金的使用效益。</w:t>
      </w:r>
    </w:p>
    <w:p w14:paraId="21CFB082">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default" w:eastAsia="仿宋" w:asciiTheme="minorAscii" w:hAnsiTheme="minorAscii"/>
          <w:sz w:val="32"/>
        </w:rPr>
      </w:pPr>
      <w:r>
        <w:rPr>
          <w:rFonts w:hint="default" w:eastAsia="仿宋" w:asciiTheme="minorAscii" w:hAnsiTheme="minorAscii"/>
          <w:sz w:val="32"/>
        </w:rPr>
        <w:t>（3）促使项目承担科室及项目分管领导，对绩效评价中发现的问题，认真整改，及时调整和完善工作计划和绩效目标，提高管理水平，同时为项目后续资金投入、分配和管理提供决策依据。</w:t>
      </w:r>
    </w:p>
    <w:p w14:paraId="2F30FF9F">
      <w:pPr>
        <w:keepNext w:val="0"/>
        <w:keepLines w:val="0"/>
        <w:pageBreakBefore w:val="0"/>
        <w:widowControl w:val="0"/>
        <w:kinsoku/>
        <w:wordWrap/>
        <w:overflowPunct/>
        <w:topLinePunct w:val="0"/>
        <w:autoSpaceDE/>
        <w:autoSpaceDN/>
        <w:bidi w:val="0"/>
        <w:adjustRightInd/>
        <w:snapToGrid/>
        <w:ind w:firstLine="643" w:firstLineChars="200"/>
        <w:textAlignment w:val="auto"/>
        <w:rPr>
          <w:rFonts w:hint="default" w:eastAsia="仿宋" w:asciiTheme="minorAscii" w:hAnsiTheme="minorAscii"/>
          <w:b/>
          <w:sz w:val="32"/>
          <w:lang w:val="en-US" w:eastAsia="zh-CN"/>
        </w:rPr>
      </w:pPr>
      <w:r>
        <w:rPr>
          <w:rFonts w:hint="default" w:eastAsia="仿宋" w:asciiTheme="minorAscii" w:hAnsiTheme="minorAscii"/>
          <w:b/>
          <w:sz w:val="32"/>
          <w:lang w:val="en-US" w:eastAsia="zh-CN"/>
        </w:rPr>
        <w:t>2.绩效评价对象和范围。</w:t>
      </w:r>
    </w:p>
    <w:p w14:paraId="26DDD362">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default" w:eastAsia="仿宋" w:asciiTheme="minorAscii" w:hAnsiTheme="minorAscii"/>
          <w:sz w:val="32"/>
          <w:lang w:val="en-US" w:eastAsia="zh-CN"/>
        </w:rPr>
      </w:pPr>
      <w:r>
        <w:rPr>
          <w:rFonts w:hint="default" w:eastAsia="仿宋" w:asciiTheme="minorAscii" w:hAnsiTheme="minorAscii"/>
          <w:sz w:val="32"/>
          <w:lang w:val="en-US" w:eastAsia="zh-CN"/>
        </w:rPr>
        <w:t>镇政府</w:t>
      </w:r>
      <w:r>
        <w:rPr>
          <w:rFonts w:hint="default" w:eastAsia="仿宋" w:asciiTheme="minorAscii" w:hAnsiTheme="minorAscii"/>
          <w:sz w:val="32"/>
        </w:rPr>
        <w:t>绩效自评项目为</w:t>
      </w:r>
      <w:r>
        <w:rPr>
          <w:rFonts w:hint="default" w:eastAsia="仿宋" w:asciiTheme="minorAscii" w:hAnsiTheme="minorAscii"/>
          <w:sz w:val="32"/>
          <w:lang w:val="en-US" w:eastAsia="zh-CN"/>
        </w:rPr>
        <w:t>江河湖库水系治理、城乡环境卫生整治、纺织工业园</w:t>
      </w:r>
      <w:r>
        <w:rPr>
          <w:rFonts w:hint="default" w:eastAsia="仿宋" w:asciiTheme="minorAscii" w:hAnsiTheme="minorAscii"/>
          <w:sz w:val="32"/>
        </w:rPr>
        <w:t>，项目预算资金</w:t>
      </w:r>
      <w:r>
        <w:rPr>
          <w:rFonts w:hint="default" w:eastAsia="仿宋" w:asciiTheme="minorAscii" w:hAnsiTheme="minorAscii"/>
          <w:sz w:val="32"/>
          <w:lang w:val="en-US" w:eastAsia="zh-CN"/>
        </w:rPr>
        <w:t>1212.87</w:t>
      </w:r>
      <w:r>
        <w:rPr>
          <w:rFonts w:hint="default" w:eastAsia="仿宋" w:asciiTheme="minorAscii" w:hAnsiTheme="minorAscii"/>
          <w:sz w:val="32"/>
        </w:rPr>
        <w:t>万元。绩效评价原则、依据、评价指标体系（附表说明）、评价方法、评价</w:t>
      </w:r>
      <w:r>
        <w:rPr>
          <w:rFonts w:hint="default" w:eastAsia="仿宋" w:asciiTheme="minorAscii" w:hAnsiTheme="minorAscii"/>
          <w:sz w:val="32"/>
          <w:lang w:val="en-US" w:eastAsia="zh-CN"/>
        </w:rPr>
        <w:t>标准、评价抽样等</w:t>
      </w:r>
    </w:p>
    <w:p w14:paraId="2C047A48">
      <w:pPr>
        <w:keepNext w:val="0"/>
        <w:keepLines w:val="0"/>
        <w:pageBreakBefore w:val="0"/>
        <w:widowControl w:val="0"/>
        <w:kinsoku/>
        <w:wordWrap/>
        <w:overflowPunct/>
        <w:topLinePunct w:val="0"/>
        <w:autoSpaceDE/>
        <w:autoSpaceDN/>
        <w:bidi w:val="0"/>
        <w:adjustRightInd/>
        <w:snapToGrid/>
        <w:ind w:firstLine="643" w:firstLineChars="200"/>
        <w:textAlignment w:val="auto"/>
        <w:rPr>
          <w:rFonts w:hint="default" w:eastAsia="仿宋" w:asciiTheme="minorAscii" w:hAnsiTheme="minorAscii"/>
          <w:b/>
          <w:sz w:val="32"/>
          <w:lang w:val="en-US" w:eastAsia="zh-CN"/>
        </w:rPr>
      </w:pPr>
      <w:r>
        <w:rPr>
          <w:rFonts w:hint="default" w:eastAsia="仿宋" w:asciiTheme="minorAscii" w:hAnsiTheme="minorAscii"/>
          <w:b/>
          <w:sz w:val="32"/>
          <w:lang w:val="en-US" w:eastAsia="zh-CN"/>
        </w:rPr>
        <w:t>1.绩效评价原则</w:t>
      </w:r>
      <w:r>
        <w:rPr>
          <w:rFonts w:hint="eastAsia" w:eastAsia="仿宋" w:asciiTheme="minorAscii" w:hAnsiTheme="minorAscii"/>
          <w:b/>
          <w:sz w:val="32"/>
          <w:lang w:val="en-US" w:eastAsia="zh-CN"/>
        </w:rPr>
        <w:t>；</w:t>
      </w:r>
    </w:p>
    <w:p w14:paraId="0C8D0588">
      <w:pPr>
        <w:keepNext w:val="0"/>
        <w:keepLines w:val="0"/>
        <w:pageBreakBefore w:val="0"/>
        <w:widowControl w:val="0"/>
        <w:kinsoku/>
        <w:wordWrap/>
        <w:overflowPunct/>
        <w:topLinePunct w:val="0"/>
        <w:autoSpaceDE/>
        <w:autoSpaceDN/>
        <w:bidi w:val="0"/>
        <w:adjustRightInd/>
        <w:snapToGrid/>
        <w:ind w:firstLine="643" w:firstLineChars="200"/>
        <w:textAlignment w:val="auto"/>
        <w:rPr>
          <w:rFonts w:hint="default" w:eastAsia="仿宋" w:asciiTheme="minorAscii" w:hAnsiTheme="minorAscii"/>
          <w:sz w:val="32"/>
        </w:rPr>
      </w:pPr>
      <w:r>
        <w:rPr>
          <w:rFonts w:hint="default" w:eastAsia="仿宋" w:asciiTheme="minorAscii" w:hAnsiTheme="minorAscii"/>
          <w:b/>
          <w:sz w:val="32"/>
          <w:lang w:val="en-US" w:eastAsia="zh-CN"/>
        </w:rPr>
        <w:t>（1）科学公正。</w:t>
      </w:r>
      <w:r>
        <w:rPr>
          <w:rFonts w:hint="default" w:eastAsia="仿宋" w:asciiTheme="minorAscii" w:hAnsiTheme="minorAscii"/>
          <w:sz w:val="32"/>
        </w:rPr>
        <w:t>绩效评价应当运用科学合理的方法，按照规范的程序，对项目绩效进行客观、公正地反映。</w:t>
      </w:r>
    </w:p>
    <w:p w14:paraId="4B6A30EB">
      <w:pPr>
        <w:keepNext w:val="0"/>
        <w:keepLines w:val="0"/>
        <w:pageBreakBefore w:val="0"/>
        <w:widowControl w:val="0"/>
        <w:kinsoku/>
        <w:wordWrap/>
        <w:overflowPunct/>
        <w:topLinePunct w:val="0"/>
        <w:autoSpaceDE/>
        <w:autoSpaceDN/>
        <w:bidi w:val="0"/>
        <w:adjustRightInd/>
        <w:snapToGrid/>
        <w:ind w:firstLine="643" w:firstLineChars="200"/>
        <w:textAlignment w:val="auto"/>
        <w:rPr>
          <w:rFonts w:hint="default" w:eastAsia="仿宋" w:asciiTheme="minorAscii" w:hAnsiTheme="minorAscii"/>
          <w:sz w:val="32"/>
        </w:rPr>
      </w:pPr>
      <w:r>
        <w:rPr>
          <w:rFonts w:hint="default" w:eastAsia="仿宋" w:asciiTheme="minorAscii" w:hAnsiTheme="minorAscii"/>
          <w:b/>
          <w:sz w:val="32"/>
          <w:lang w:val="en-US" w:eastAsia="zh-CN"/>
        </w:rPr>
        <w:t>（2）统筹兼顾</w:t>
      </w:r>
      <w:r>
        <w:rPr>
          <w:rFonts w:hint="default" w:eastAsia="仿宋" w:asciiTheme="minorAscii" w:hAnsiTheme="minorAscii"/>
          <w:sz w:val="32"/>
        </w:rPr>
        <w:t>。单位自评、部门评价和财政评价应职责明确，各有侧重，相互衔接。单位自评应由项目单位自主实施，即“谁支出、谁自评”。部门评价和财政评价应在单位自评的基础上开展，必要时可委托第三方机构实施。</w:t>
      </w:r>
    </w:p>
    <w:p w14:paraId="77B9D78F">
      <w:pPr>
        <w:keepNext w:val="0"/>
        <w:keepLines w:val="0"/>
        <w:pageBreakBefore w:val="0"/>
        <w:widowControl w:val="0"/>
        <w:kinsoku/>
        <w:wordWrap/>
        <w:overflowPunct/>
        <w:topLinePunct w:val="0"/>
        <w:autoSpaceDE/>
        <w:autoSpaceDN/>
        <w:bidi w:val="0"/>
        <w:adjustRightInd/>
        <w:snapToGrid/>
        <w:ind w:firstLine="643" w:firstLineChars="200"/>
        <w:textAlignment w:val="auto"/>
        <w:rPr>
          <w:rFonts w:hint="default" w:eastAsia="仿宋" w:asciiTheme="minorAscii" w:hAnsiTheme="minorAscii"/>
          <w:sz w:val="32"/>
        </w:rPr>
      </w:pPr>
      <w:r>
        <w:rPr>
          <w:rFonts w:hint="default" w:eastAsia="仿宋" w:asciiTheme="minorAscii" w:hAnsiTheme="minorAscii"/>
          <w:b/>
          <w:sz w:val="32"/>
          <w:lang w:val="en-US" w:eastAsia="zh-CN"/>
        </w:rPr>
        <w:t>（3）激励约束。</w:t>
      </w:r>
      <w:r>
        <w:rPr>
          <w:rFonts w:hint="default" w:eastAsia="仿宋" w:asciiTheme="minorAscii" w:hAnsiTheme="minorAscii"/>
          <w:sz w:val="32"/>
        </w:rPr>
        <w:t>绩效评价结果应与预算安排、政策调整、改进管理实质性挂钩，体现奖优罚劣和激励相容导向，有效要安排、低效要压减、无效要问责。</w:t>
      </w:r>
    </w:p>
    <w:p w14:paraId="0B7EED76">
      <w:pPr>
        <w:keepNext w:val="0"/>
        <w:keepLines w:val="0"/>
        <w:pageBreakBefore w:val="0"/>
        <w:widowControl w:val="0"/>
        <w:kinsoku/>
        <w:wordWrap/>
        <w:overflowPunct/>
        <w:topLinePunct w:val="0"/>
        <w:autoSpaceDE/>
        <w:autoSpaceDN/>
        <w:bidi w:val="0"/>
        <w:adjustRightInd/>
        <w:snapToGrid/>
        <w:ind w:firstLine="643" w:firstLineChars="200"/>
        <w:textAlignment w:val="auto"/>
        <w:rPr>
          <w:rFonts w:hint="default" w:eastAsia="仿宋" w:asciiTheme="minorAscii" w:hAnsiTheme="minorAscii"/>
          <w:sz w:val="32"/>
        </w:rPr>
      </w:pPr>
      <w:r>
        <w:rPr>
          <w:rFonts w:hint="default" w:eastAsia="仿宋" w:asciiTheme="minorAscii" w:hAnsiTheme="minorAscii"/>
          <w:b/>
          <w:sz w:val="32"/>
          <w:lang w:val="en-US" w:eastAsia="zh-CN"/>
        </w:rPr>
        <w:t>（4）公开透明。</w:t>
      </w:r>
      <w:r>
        <w:rPr>
          <w:rFonts w:hint="default" w:eastAsia="仿宋" w:asciiTheme="minorAscii" w:hAnsiTheme="minorAscii"/>
          <w:sz w:val="32"/>
        </w:rPr>
        <w:t>绩效评价结果应依法依规公开，并自觉接受社会监督。</w:t>
      </w:r>
    </w:p>
    <w:p w14:paraId="0B1C3B29">
      <w:pPr>
        <w:keepNext w:val="0"/>
        <w:keepLines w:val="0"/>
        <w:pageBreakBefore w:val="0"/>
        <w:widowControl w:val="0"/>
        <w:kinsoku/>
        <w:wordWrap/>
        <w:overflowPunct/>
        <w:topLinePunct w:val="0"/>
        <w:autoSpaceDE/>
        <w:autoSpaceDN/>
        <w:bidi w:val="0"/>
        <w:adjustRightInd/>
        <w:snapToGrid/>
        <w:ind w:firstLine="643" w:firstLineChars="200"/>
        <w:textAlignment w:val="auto"/>
        <w:rPr>
          <w:rFonts w:hint="default" w:eastAsia="仿宋" w:asciiTheme="minorAscii" w:hAnsiTheme="minorAscii"/>
          <w:b/>
          <w:sz w:val="32"/>
          <w:lang w:val="en-US" w:eastAsia="zh-CN"/>
        </w:rPr>
      </w:pPr>
      <w:r>
        <w:rPr>
          <w:rFonts w:hint="default" w:eastAsia="仿宋" w:asciiTheme="minorAscii" w:hAnsiTheme="minorAscii"/>
          <w:b/>
          <w:sz w:val="32"/>
          <w:lang w:val="en-US" w:eastAsia="zh-CN"/>
        </w:rPr>
        <w:t>2.绩效评价依据</w:t>
      </w:r>
      <w:r>
        <w:rPr>
          <w:rFonts w:hint="eastAsia" w:eastAsia="仿宋" w:asciiTheme="minorAscii" w:hAnsiTheme="minorAscii"/>
          <w:b/>
          <w:sz w:val="32"/>
          <w:lang w:val="en-US" w:eastAsia="zh-CN"/>
        </w:rPr>
        <w:t>；</w:t>
      </w:r>
    </w:p>
    <w:p w14:paraId="037AA17A">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default" w:eastAsia="仿宋" w:asciiTheme="minorAscii" w:hAnsiTheme="minorAscii"/>
          <w:sz w:val="32"/>
        </w:rPr>
      </w:pPr>
      <w:r>
        <w:rPr>
          <w:rFonts w:hint="default" w:eastAsia="仿宋" w:asciiTheme="minorAscii" w:hAnsiTheme="minorAscii"/>
          <w:sz w:val="32"/>
        </w:rPr>
        <w:t>（1）《中华人民共和国预算法》（修订）；</w:t>
      </w:r>
    </w:p>
    <w:p w14:paraId="46528B43">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default" w:eastAsia="仿宋" w:asciiTheme="minorAscii" w:hAnsiTheme="minorAscii"/>
          <w:sz w:val="32"/>
        </w:rPr>
      </w:pPr>
      <w:r>
        <w:rPr>
          <w:rFonts w:hint="default" w:eastAsia="仿宋" w:asciiTheme="minorAscii" w:hAnsiTheme="minorAscii"/>
          <w:sz w:val="32"/>
        </w:rPr>
        <w:t>（2）《中华人民共和国预算法实施条例》；</w:t>
      </w:r>
    </w:p>
    <w:p w14:paraId="78C5B6EC">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default" w:eastAsia="仿宋" w:asciiTheme="minorAscii" w:hAnsiTheme="minorAscii"/>
          <w:sz w:val="32"/>
        </w:rPr>
      </w:pPr>
      <w:r>
        <w:rPr>
          <w:rFonts w:hint="default" w:eastAsia="仿宋" w:asciiTheme="minorAscii" w:hAnsiTheme="minorAscii"/>
          <w:sz w:val="32"/>
        </w:rPr>
        <w:t>（3）《财政部关于印发&lt;项目支出绩效评价管理办法&gt;的通知》（财预〔</w:t>
      </w:r>
      <w:r>
        <w:rPr>
          <w:rFonts w:hint="default" w:eastAsia="仿宋" w:asciiTheme="minorAscii" w:hAnsiTheme="minorAscii"/>
          <w:sz w:val="32"/>
          <w:lang w:val="en-US" w:eastAsia="zh-CN"/>
        </w:rPr>
        <w:t>10号</w:t>
      </w:r>
      <w:r>
        <w:rPr>
          <w:rFonts w:hint="default" w:eastAsia="仿宋" w:asciiTheme="minorAscii" w:hAnsiTheme="minorAscii"/>
          <w:sz w:val="32"/>
        </w:rPr>
        <w:t>〕</w:t>
      </w:r>
      <w:r>
        <w:rPr>
          <w:rFonts w:hint="default" w:eastAsia="仿宋" w:asciiTheme="minorAscii" w:hAnsiTheme="minorAscii"/>
          <w:sz w:val="32"/>
          <w:lang w:eastAsia="zh-CN"/>
        </w:rPr>
        <w:t>）</w:t>
      </w:r>
      <w:r>
        <w:rPr>
          <w:rFonts w:hint="default" w:eastAsia="仿宋" w:asciiTheme="minorAscii" w:hAnsiTheme="minorAscii"/>
          <w:sz w:val="32"/>
        </w:rPr>
        <w:t>；</w:t>
      </w:r>
    </w:p>
    <w:p w14:paraId="7828D3E5">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default" w:eastAsia="仿宋" w:asciiTheme="minorAscii" w:hAnsiTheme="minorAscii"/>
          <w:sz w:val="32"/>
        </w:rPr>
      </w:pPr>
      <w:r>
        <w:rPr>
          <w:rFonts w:hint="default" w:eastAsia="仿宋" w:asciiTheme="minorAscii" w:hAnsiTheme="minorAscii"/>
          <w:sz w:val="32"/>
        </w:rPr>
        <w:t>（</w:t>
      </w:r>
      <w:r>
        <w:rPr>
          <w:rFonts w:hint="default" w:eastAsia="仿宋" w:asciiTheme="minorAscii" w:hAnsiTheme="minorAscii"/>
          <w:sz w:val="32"/>
          <w:lang w:val="en-US" w:eastAsia="zh-CN"/>
        </w:rPr>
        <w:t>4</w:t>
      </w:r>
      <w:r>
        <w:rPr>
          <w:rFonts w:hint="default" w:eastAsia="仿宋" w:asciiTheme="minorAscii" w:hAnsiTheme="minorAscii"/>
          <w:sz w:val="32"/>
        </w:rPr>
        <w:t>）其他相关资料。</w:t>
      </w:r>
    </w:p>
    <w:p w14:paraId="57C773B6">
      <w:pPr>
        <w:keepNext w:val="0"/>
        <w:keepLines w:val="0"/>
        <w:pageBreakBefore w:val="0"/>
        <w:widowControl w:val="0"/>
        <w:kinsoku/>
        <w:wordWrap/>
        <w:overflowPunct/>
        <w:topLinePunct w:val="0"/>
        <w:autoSpaceDE/>
        <w:autoSpaceDN/>
        <w:bidi w:val="0"/>
        <w:adjustRightInd/>
        <w:snapToGrid/>
        <w:ind w:firstLine="643" w:firstLineChars="200"/>
        <w:textAlignment w:val="auto"/>
        <w:rPr>
          <w:rFonts w:hint="default" w:eastAsia="仿宋" w:asciiTheme="minorAscii" w:hAnsiTheme="minorAscii"/>
          <w:b/>
          <w:sz w:val="32"/>
          <w:lang w:val="en-US" w:eastAsia="zh-CN"/>
        </w:rPr>
      </w:pPr>
      <w:r>
        <w:rPr>
          <w:rFonts w:hint="default" w:eastAsia="仿宋" w:asciiTheme="minorAscii" w:hAnsiTheme="minorAscii"/>
          <w:b/>
          <w:sz w:val="32"/>
          <w:lang w:val="en-US" w:eastAsia="zh-CN"/>
        </w:rPr>
        <w:t>3.绩效评价指标体系</w:t>
      </w:r>
      <w:r>
        <w:rPr>
          <w:rFonts w:hint="eastAsia" w:eastAsia="仿宋" w:asciiTheme="minorAscii" w:hAnsiTheme="minorAscii"/>
          <w:b/>
          <w:sz w:val="32"/>
          <w:lang w:val="en-US" w:eastAsia="zh-CN"/>
        </w:rPr>
        <w:t>；</w:t>
      </w:r>
    </w:p>
    <w:p w14:paraId="74DE0244">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default" w:eastAsia="仿宋" w:asciiTheme="minorAscii" w:hAnsiTheme="minorAscii"/>
          <w:sz w:val="32"/>
        </w:rPr>
      </w:pPr>
      <w:r>
        <w:rPr>
          <w:rFonts w:hint="default" w:eastAsia="仿宋" w:asciiTheme="minorAscii" w:hAnsiTheme="minorAscii"/>
          <w:sz w:val="32"/>
        </w:rPr>
        <w:t>根据《财政部关于印发&lt;项目支出绩效评价管理办法&gt;的通知》（财预〔〕10号）文件及项目实际情况，各项目绩效评价体系分别设置产出、效益和满意度等指标，具体详见附件：</w:t>
      </w:r>
      <w:r>
        <w:rPr>
          <w:rFonts w:hint="default" w:eastAsia="仿宋" w:asciiTheme="minorAscii" w:hAnsiTheme="minorAscii"/>
          <w:sz w:val="32"/>
          <w:lang w:val="en-US" w:eastAsia="zh-CN"/>
        </w:rPr>
        <w:t>赤壁市财政局</w:t>
      </w:r>
      <w:r>
        <w:rPr>
          <w:rFonts w:hint="default" w:eastAsia="仿宋" w:asciiTheme="minorAscii" w:hAnsiTheme="minorAscii"/>
          <w:sz w:val="32"/>
        </w:rPr>
        <w:t>项目支出绩效单位自评表。</w:t>
      </w:r>
    </w:p>
    <w:p w14:paraId="775B152A">
      <w:pPr>
        <w:keepNext w:val="0"/>
        <w:keepLines w:val="0"/>
        <w:pageBreakBefore w:val="0"/>
        <w:widowControl w:val="0"/>
        <w:kinsoku/>
        <w:wordWrap/>
        <w:overflowPunct/>
        <w:topLinePunct w:val="0"/>
        <w:autoSpaceDE/>
        <w:autoSpaceDN/>
        <w:bidi w:val="0"/>
        <w:adjustRightInd/>
        <w:snapToGrid/>
        <w:ind w:firstLine="643" w:firstLineChars="200"/>
        <w:textAlignment w:val="auto"/>
        <w:rPr>
          <w:rFonts w:hint="eastAsia" w:eastAsia="仿宋" w:asciiTheme="minorAscii" w:hAnsiTheme="minorAscii"/>
          <w:b/>
          <w:sz w:val="32"/>
          <w:lang w:val="en-US" w:eastAsia="zh-CN"/>
        </w:rPr>
      </w:pPr>
      <w:r>
        <w:rPr>
          <w:rFonts w:hint="default" w:eastAsia="仿宋" w:asciiTheme="minorAscii" w:hAnsiTheme="minorAscii"/>
          <w:b/>
          <w:sz w:val="32"/>
          <w:lang w:val="en-US" w:eastAsia="zh-CN"/>
        </w:rPr>
        <w:t>4.绩效评价方法</w:t>
      </w:r>
      <w:r>
        <w:rPr>
          <w:rFonts w:hint="eastAsia" w:eastAsia="仿宋" w:asciiTheme="minorAscii" w:hAnsiTheme="minorAscii"/>
          <w:b/>
          <w:sz w:val="32"/>
          <w:lang w:val="en-US" w:eastAsia="zh-CN"/>
        </w:rPr>
        <w:t>；</w:t>
      </w:r>
    </w:p>
    <w:p w14:paraId="0E2D3FCF">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default" w:eastAsia="仿宋" w:asciiTheme="minorAscii" w:hAnsiTheme="minorAscii"/>
          <w:sz w:val="32"/>
          <w:lang w:val="en-US" w:eastAsia="zh-CN"/>
        </w:rPr>
      </w:pPr>
      <w:r>
        <w:rPr>
          <w:rFonts w:hint="default" w:eastAsia="仿宋" w:asciiTheme="minorAscii" w:hAnsiTheme="minorAscii"/>
          <w:sz w:val="32"/>
        </w:rPr>
        <w:t>本次评价主要采用定量与定性评价相结合的比较法，总分由各项指标得分汇总形成。综合绩效评价总分值为100分，其中：投入预算执行率10分、产出指标分值50分、效益指标分值30分、满意度指标分值10分。本次绩效评价结果</w:t>
      </w:r>
      <w:r>
        <w:rPr>
          <w:rFonts w:hint="eastAsia" w:eastAsia="仿宋" w:asciiTheme="minorAscii" w:hAnsiTheme="minorAscii"/>
          <w:sz w:val="32"/>
          <w:lang w:eastAsia="zh-CN"/>
        </w:rPr>
        <w:t>，</w:t>
      </w:r>
      <w:r>
        <w:rPr>
          <w:rFonts w:hint="default" w:eastAsia="仿宋" w:asciiTheme="minorAscii" w:hAnsiTheme="minorAscii"/>
          <w:sz w:val="32"/>
        </w:rPr>
        <w:t>共分为4个等级：评价得分≥90分，等级为“优”；80分≤评价得分＜90分，等级为“良”；60分≤评价得分＜80分，等级为“中”；评价得分＜60分，等</w:t>
      </w:r>
      <w:r>
        <w:rPr>
          <w:rFonts w:hint="default" w:eastAsia="仿宋" w:asciiTheme="minorAscii" w:hAnsiTheme="minorAscii"/>
          <w:sz w:val="32"/>
          <w:lang w:val="en-US" w:eastAsia="zh-CN"/>
        </w:rPr>
        <w:t>级为“差”。</w:t>
      </w:r>
    </w:p>
    <w:p w14:paraId="4445D5F0">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default" w:eastAsia="仿宋" w:asciiTheme="minorAscii" w:hAnsiTheme="minorAscii"/>
          <w:sz w:val="32"/>
        </w:rPr>
      </w:pPr>
      <w:r>
        <w:rPr>
          <w:rFonts w:hint="default" w:eastAsia="仿宋" w:asciiTheme="minorAscii" w:hAnsiTheme="minorAscii"/>
          <w:sz w:val="32"/>
        </w:rPr>
        <w:t>定量指标得分按照以下方法评定：与年初指标值相比，完成指标值的，记该指标所赋全部分值；对完成值高于指标值较多的，分析偏高原因，如果是由于年初指标值设定明显偏低造成的，要按照偏离度适度调减分值；未完成指标值的，按照完成值与指标值的比例计分。</w:t>
      </w:r>
    </w:p>
    <w:p w14:paraId="571C5D78">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default" w:eastAsia="仿宋" w:asciiTheme="minorAscii" w:hAnsiTheme="minorAscii"/>
          <w:sz w:val="32"/>
        </w:rPr>
      </w:pPr>
      <w:r>
        <w:rPr>
          <w:rFonts w:hint="default" w:eastAsia="仿宋" w:asciiTheme="minorAscii" w:hAnsiTheme="minorAscii"/>
          <w:sz w:val="32"/>
        </w:rPr>
        <w:t>定性指标得分按照以下方法评定：根据指标完成情况分为达成年度指标、部分达成年度指标并具有一定效果、未达成年度指标且效果较差三档，分别按照该指标对应分值区间100%—80%（含）、80%—60%（含）、60%—0%合理确定分值。</w:t>
      </w:r>
    </w:p>
    <w:p w14:paraId="43E76328">
      <w:pPr>
        <w:keepNext w:val="0"/>
        <w:keepLines w:val="0"/>
        <w:pageBreakBefore w:val="0"/>
        <w:widowControl w:val="0"/>
        <w:kinsoku/>
        <w:wordWrap/>
        <w:overflowPunct/>
        <w:topLinePunct w:val="0"/>
        <w:autoSpaceDE/>
        <w:autoSpaceDN/>
        <w:bidi w:val="0"/>
        <w:adjustRightInd/>
        <w:snapToGrid/>
        <w:ind w:firstLine="643" w:firstLineChars="200"/>
        <w:textAlignment w:val="auto"/>
        <w:rPr>
          <w:rFonts w:hint="default" w:eastAsia="仿宋" w:asciiTheme="minorAscii" w:hAnsiTheme="minorAscii"/>
          <w:b/>
          <w:sz w:val="32"/>
          <w:lang w:val="en-US" w:eastAsia="zh-CN"/>
        </w:rPr>
      </w:pPr>
      <w:r>
        <w:rPr>
          <w:rFonts w:hint="default" w:eastAsia="仿宋" w:asciiTheme="minorAscii" w:hAnsiTheme="minorAscii"/>
          <w:b/>
          <w:sz w:val="32"/>
          <w:lang w:val="en-US" w:eastAsia="zh-CN"/>
        </w:rPr>
        <w:t>5.绩效评价标准</w:t>
      </w:r>
    </w:p>
    <w:p w14:paraId="62F1882A">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default" w:eastAsia="仿宋" w:asciiTheme="minorAscii" w:hAnsiTheme="minorAscii"/>
          <w:sz w:val="32"/>
        </w:rPr>
      </w:pPr>
      <w:r>
        <w:rPr>
          <w:rFonts w:hint="default" w:eastAsia="仿宋" w:asciiTheme="minorAscii" w:hAnsiTheme="minorAscii"/>
          <w:sz w:val="32"/>
        </w:rPr>
        <w:t>评价标准主要包括计划标准、行业标准、历史标准等，用于对绩效指标完成</w:t>
      </w:r>
    </w:p>
    <w:p w14:paraId="5E25B51D">
      <w:pPr>
        <w:keepNext w:val="0"/>
        <w:keepLines w:val="0"/>
        <w:pageBreakBefore w:val="0"/>
        <w:widowControl w:val="0"/>
        <w:kinsoku/>
        <w:wordWrap/>
        <w:overflowPunct/>
        <w:topLinePunct w:val="0"/>
        <w:autoSpaceDE/>
        <w:autoSpaceDN/>
        <w:bidi w:val="0"/>
        <w:adjustRightInd/>
        <w:snapToGrid/>
        <w:ind w:firstLine="643" w:firstLineChars="200"/>
        <w:textAlignment w:val="auto"/>
        <w:rPr>
          <w:rFonts w:hint="default" w:eastAsia="楷体" w:asciiTheme="minorAscii" w:hAnsiTheme="minorAscii"/>
          <w:b/>
          <w:bCs/>
          <w:sz w:val="32"/>
        </w:rPr>
      </w:pPr>
      <w:r>
        <w:rPr>
          <w:rFonts w:hint="default" w:eastAsia="楷体" w:asciiTheme="minorAscii" w:hAnsiTheme="minorAscii"/>
          <w:b/>
          <w:bCs/>
          <w:sz w:val="32"/>
        </w:rPr>
        <w:t>（</w:t>
      </w:r>
      <w:r>
        <w:rPr>
          <w:rFonts w:hint="eastAsia" w:eastAsia="楷体" w:asciiTheme="minorAscii" w:hAnsiTheme="minorAscii"/>
          <w:b/>
          <w:bCs/>
          <w:sz w:val="32"/>
          <w:lang w:val="en-US" w:eastAsia="zh-CN"/>
        </w:rPr>
        <w:t>二</w:t>
      </w:r>
      <w:r>
        <w:rPr>
          <w:rFonts w:hint="default" w:eastAsia="楷体" w:asciiTheme="minorAscii" w:hAnsiTheme="minorAscii"/>
          <w:b/>
          <w:bCs/>
          <w:sz w:val="32"/>
        </w:rPr>
        <w:t>）绩效评价工作过程</w:t>
      </w:r>
    </w:p>
    <w:p w14:paraId="4B33DD70">
      <w:pPr>
        <w:keepNext w:val="0"/>
        <w:keepLines w:val="0"/>
        <w:pageBreakBefore w:val="0"/>
        <w:widowControl w:val="0"/>
        <w:kinsoku/>
        <w:wordWrap/>
        <w:overflowPunct/>
        <w:topLinePunct w:val="0"/>
        <w:autoSpaceDE/>
        <w:autoSpaceDN/>
        <w:bidi w:val="0"/>
        <w:adjustRightInd/>
        <w:snapToGrid/>
        <w:ind w:firstLine="643" w:firstLineChars="200"/>
        <w:textAlignment w:val="auto"/>
        <w:rPr>
          <w:rFonts w:hint="default" w:eastAsia="仿宋" w:asciiTheme="minorAscii" w:hAnsiTheme="minorAscii"/>
          <w:b/>
          <w:sz w:val="32"/>
          <w:lang w:val="en-US" w:eastAsia="zh-CN"/>
        </w:rPr>
      </w:pPr>
      <w:r>
        <w:rPr>
          <w:rFonts w:hint="default" w:eastAsia="仿宋" w:asciiTheme="minorAscii" w:hAnsiTheme="minorAscii"/>
          <w:b/>
          <w:sz w:val="32"/>
          <w:lang w:val="en-US" w:eastAsia="zh-CN"/>
        </w:rPr>
        <w:t>1.成立绩效评价领导小组；</w:t>
      </w:r>
    </w:p>
    <w:p w14:paraId="2C947AC7">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default" w:eastAsia="仿宋" w:asciiTheme="minorAscii" w:hAnsiTheme="minorAscii"/>
          <w:sz w:val="32"/>
          <w:lang w:val="en-US" w:eastAsia="zh-CN"/>
        </w:rPr>
      </w:pPr>
      <w:r>
        <w:rPr>
          <w:rFonts w:hint="default" w:eastAsia="仿宋" w:asciiTheme="minorAscii" w:hAnsiTheme="minorAscii"/>
          <w:sz w:val="32"/>
          <w:lang w:val="en-US" w:eastAsia="zh-CN"/>
        </w:rPr>
        <w:t>镇党委政府成立以分管财务的领导任组长，以纪委书记为副组长，党政办，财务室，纪检组相关人员为组员的领导小组，</w:t>
      </w:r>
    </w:p>
    <w:p w14:paraId="72795E1A">
      <w:pPr>
        <w:keepNext w:val="0"/>
        <w:keepLines w:val="0"/>
        <w:pageBreakBefore w:val="0"/>
        <w:widowControl w:val="0"/>
        <w:kinsoku/>
        <w:wordWrap/>
        <w:overflowPunct/>
        <w:topLinePunct w:val="0"/>
        <w:autoSpaceDE/>
        <w:autoSpaceDN/>
        <w:bidi w:val="0"/>
        <w:adjustRightInd/>
        <w:snapToGrid/>
        <w:ind w:firstLine="643" w:firstLineChars="200"/>
        <w:textAlignment w:val="auto"/>
        <w:rPr>
          <w:rFonts w:hint="default" w:eastAsia="仿宋" w:asciiTheme="minorAscii" w:hAnsiTheme="minorAscii"/>
          <w:b/>
          <w:sz w:val="32"/>
          <w:lang w:val="en-US" w:eastAsia="zh-CN"/>
        </w:rPr>
      </w:pPr>
      <w:r>
        <w:rPr>
          <w:rFonts w:hint="default" w:eastAsia="仿宋" w:asciiTheme="minorAscii" w:hAnsiTheme="minorAscii"/>
          <w:b/>
          <w:sz w:val="32"/>
          <w:lang w:val="en-US" w:eastAsia="zh-CN"/>
        </w:rPr>
        <w:t>2.组织相关人员进行培训；</w:t>
      </w:r>
    </w:p>
    <w:p w14:paraId="7A34707C">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default" w:eastAsia="仿宋" w:asciiTheme="minorAscii" w:hAnsiTheme="minorAscii"/>
          <w:sz w:val="32"/>
          <w:lang w:val="en-US" w:eastAsia="zh-CN"/>
        </w:rPr>
      </w:pPr>
      <w:r>
        <w:rPr>
          <w:rFonts w:hint="default" w:eastAsia="仿宋" w:asciiTheme="minorAscii" w:hAnsiTheme="minorAscii"/>
          <w:sz w:val="32"/>
          <w:lang w:val="en-US" w:eastAsia="zh-CN"/>
        </w:rPr>
        <w:t>3.收集相关资料；</w:t>
      </w:r>
    </w:p>
    <w:p w14:paraId="5995DB14">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default" w:eastAsia="仿宋" w:asciiTheme="minorAscii" w:hAnsiTheme="minorAscii"/>
          <w:sz w:val="32"/>
          <w:lang w:val="en-US" w:eastAsia="zh-CN"/>
        </w:rPr>
      </w:pPr>
      <w:r>
        <w:rPr>
          <w:rFonts w:hint="default" w:eastAsia="仿宋" w:asciiTheme="minorAscii" w:hAnsiTheme="minorAscii"/>
          <w:sz w:val="32"/>
          <w:lang w:val="en-US" w:eastAsia="zh-CN"/>
        </w:rPr>
        <w:t>4.分析资料、汇总评价数据；</w:t>
      </w:r>
    </w:p>
    <w:p w14:paraId="2A4472A6">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default" w:eastAsia="仿宋" w:asciiTheme="minorAscii" w:hAnsiTheme="minorAscii"/>
          <w:sz w:val="32"/>
          <w:lang w:val="en-US" w:eastAsia="zh-CN"/>
        </w:rPr>
      </w:pPr>
      <w:r>
        <w:rPr>
          <w:rFonts w:hint="default" w:eastAsia="仿宋" w:asciiTheme="minorAscii" w:hAnsiTheme="minorAscii"/>
          <w:sz w:val="32"/>
          <w:lang w:val="en-US" w:eastAsia="zh-CN"/>
        </w:rPr>
        <w:t>5.填写项目支出绩效单位自评表，撰写绩效自评报告。</w:t>
      </w:r>
    </w:p>
    <w:p w14:paraId="22752767">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default" w:eastAsia="黑体" w:asciiTheme="minorAscii" w:hAnsiTheme="minorAscii"/>
          <w:sz w:val="32"/>
          <w:lang w:val="en-US" w:eastAsia="zh-CN"/>
        </w:rPr>
      </w:pPr>
      <w:r>
        <w:rPr>
          <w:rFonts w:hint="default" w:eastAsia="黑体" w:asciiTheme="minorAscii" w:hAnsiTheme="minorAscii"/>
          <w:sz w:val="32"/>
          <w:lang w:val="en-US" w:eastAsia="zh-CN"/>
        </w:rPr>
        <w:t>三、综合评价情况及评价结论</w:t>
      </w:r>
    </w:p>
    <w:p w14:paraId="66249573">
      <w:pPr>
        <w:keepNext w:val="0"/>
        <w:keepLines w:val="0"/>
        <w:pageBreakBefore w:val="0"/>
        <w:widowControl w:val="0"/>
        <w:kinsoku/>
        <w:wordWrap/>
        <w:overflowPunct/>
        <w:topLinePunct w:val="0"/>
        <w:autoSpaceDE/>
        <w:autoSpaceDN/>
        <w:bidi w:val="0"/>
        <w:adjustRightInd/>
        <w:snapToGrid/>
        <w:ind w:firstLine="643" w:firstLineChars="200"/>
        <w:textAlignment w:val="auto"/>
        <w:rPr>
          <w:rFonts w:hint="default" w:eastAsia="楷体" w:asciiTheme="minorAscii" w:hAnsiTheme="minorAscii"/>
          <w:b/>
          <w:bCs/>
          <w:sz w:val="32"/>
        </w:rPr>
      </w:pPr>
      <w:r>
        <w:rPr>
          <w:rFonts w:hint="default" w:eastAsia="楷体" w:asciiTheme="minorAscii" w:hAnsiTheme="minorAscii"/>
          <w:b/>
          <w:bCs/>
          <w:sz w:val="32"/>
        </w:rPr>
        <w:t>（一）绩效评价综合结论</w:t>
      </w:r>
    </w:p>
    <w:p w14:paraId="52533784">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default" w:eastAsia="仿宋" w:asciiTheme="minorAscii" w:hAnsiTheme="minorAscii"/>
          <w:sz w:val="32"/>
        </w:rPr>
      </w:pPr>
      <w:r>
        <w:rPr>
          <w:rFonts w:hint="default" w:eastAsia="仿宋" w:asciiTheme="minorAscii" w:hAnsiTheme="minorAscii"/>
          <w:sz w:val="32"/>
          <w:lang w:val="en-US" w:eastAsia="zh-CN"/>
        </w:rPr>
        <w:t>镇政府财政拨款</w:t>
      </w:r>
      <w:r>
        <w:rPr>
          <w:rFonts w:hint="default" w:eastAsia="仿宋" w:asciiTheme="minorAscii" w:hAnsiTheme="minorAscii"/>
          <w:sz w:val="32"/>
        </w:rPr>
        <w:t>项目支出绩效评价得分</w:t>
      </w:r>
      <w:r>
        <w:rPr>
          <w:rFonts w:hint="default" w:eastAsia="仿宋" w:asciiTheme="minorAscii" w:hAnsiTheme="minorAscii"/>
          <w:sz w:val="32"/>
          <w:lang w:val="en-US" w:eastAsia="zh-CN"/>
        </w:rPr>
        <w:t>82.8</w:t>
      </w:r>
      <w:r>
        <w:rPr>
          <w:rFonts w:hint="default" w:eastAsia="仿宋" w:asciiTheme="minorAscii" w:hAnsiTheme="minorAscii"/>
          <w:sz w:val="32"/>
        </w:rPr>
        <w:t>分，评价等级为“</w:t>
      </w:r>
      <w:r>
        <w:rPr>
          <w:rFonts w:hint="default" w:eastAsia="仿宋" w:asciiTheme="minorAscii" w:hAnsiTheme="minorAscii"/>
          <w:sz w:val="32"/>
          <w:lang w:val="en-US" w:eastAsia="zh-CN"/>
        </w:rPr>
        <w:t>良</w:t>
      </w:r>
      <w:r>
        <w:rPr>
          <w:rFonts w:hint="default" w:eastAsia="仿宋" w:asciiTheme="minorAscii" w:hAnsiTheme="minorAscii"/>
          <w:sz w:val="32"/>
        </w:rPr>
        <w:t>”</w:t>
      </w:r>
    </w:p>
    <w:p w14:paraId="490A0E31">
      <w:pPr>
        <w:keepNext w:val="0"/>
        <w:keepLines w:val="0"/>
        <w:pageBreakBefore w:val="0"/>
        <w:widowControl w:val="0"/>
        <w:kinsoku/>
        <w:wordWrap/>
        <w:overflowPunct/>
        <w:topLinePunct w:val="0"/>
        <w:autoSpaceDE/>
        <w:autoSpaceDN/>
        <w:bidi w:val="0"/>
        <w:adjustRightInd/>
        <w:snapToGrid/>
        <w:ind w:firstLine="643" w:firstLineChars="200"/>
        <w:textAlignment w:val="auto"/>
        <w:rPr>
          <w:rFonts w:hint="default" w:eastAsia="楷体" w:asciiTheme="minorAscii" w:hAnsiTheme="minorAscii"/>
          <w:b/>
          <w:bCs/>
          <w:sz w:val="32"/>
        </w:rPr>
      </w:pPr>
      <w:r>
        <w:rPr>
          <w:rFonts w:hint="default" w:eastAsia="楷体" w:asciiTheme="minorAscii" w:hAnsiTheme="minorAscii"/>
          <w:b/>
          <w:bCs/>
          <w:sz w:val="32"/>
        </w:rPr>
        <w:t>（二）绩效目标实现情况等</w:t>
      </w:r>
    </w:p>
    <w:p w14:paraId="2BC613A8">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default" w:eastAsia="仿宋" w:asciiTheme="minorAscii" w:hAnsiTheme="minorAscii"/>
          <w:sz w:val="32"/>
        </w:rPr>
      </w:pPr>
      <w:r>
        <w:rPr>
          <w:rFonts w:hint="default" w:eastAsia="仿宋" w:asciiTheme="minorAscii" w:hAnsiTheme="minorAscii"/>
          <w:sz w:val="32"/>
        </w:rPr>
        <w:t>根据</w:t>
      </w:r>
      <w:r>
        <w:rPr>
          <w:rFonts w:hint="default" w:eastAsia="仿宋" w:asciiTheme="minorAscii" w:hAnsiTheme="minorAscii"/>
          <w:sz w:val="32"/>
          <w:lang w:val="en-US" w:eastAsia="zh-CN"/>
        </w:rPr>
        <w:t>项目支出绩效评价表</w:t>
      </w:r>
      <w:r>
        <w:rPr>
          <w:rFonts w:hint="default" w:eastAsia="仿宋" w:asciiTheme="minorAscii" w:hAnsiTheme="minorAscii"/>
          <w:sz w:val="32"/>
        </w:rPr>
        <w:t>及前期优化过程，</w:t>
      </w:r>
      <w:r>
        <w:rPr>
          <w:rFonts w:hint="default" w:eastAsia="仿宋" w:asciiTheme="minorAscii" w:hAnsiTheme="minorAscii"/>
          <w:sz w:val="32"/>
          <w:lang w:val="en-US" w:eastAsia="zh-CN"/>
        </w:rPr>
        <w:t>对财政拨款</w:t>
      </w:r>
      <w:r>
        <w:rPr>
          <w:rFonts w:hint="default" w:eastAsia="仿宋" w:asciiTheme="minorAscii" w:hAnsiTheme="minorAscii"/>
          <w:sz w:val="32"/>
        </w:rPr>
        <w:t>项目设定6个绩效指标，截至12月31日已完成的绩效指标有6个，占总指标数100%。</w:t>
      </w:r>
    </w:p>
    <w:p w14:paraId="012B2BE6">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default" w:eastAsia="黑体" w:asciiTheme="minorAscii" w:hAnsiTheme="minorAscii"/>
          <w:sz w:val="32"/>
          <w:lang w:val="en-US" w:eastAsia="zh-CN"/>
        </w:rPr>
      </w:pPr>
      <w:r>
        <w:rPr>
          <w:rFonts w:hint="default" w:eastAsia="黑体" w:asciiTheme="minorAscii" w:hAnsiTheme="minorAscii"/>
          <w:sz w:val="32"/>
          <w:lang w:val="en-US" w:eastAsia="zh-CN"/>
        </w:rPr>
        <w:t>四、绩效评价指标分析</w:t>
      </w:r>
    </w:p>
    <w:p w14:paraId="0179565F">
      <w:pPr>
        <w:keepNext w:val="0"/>
        <w:keepLines w:val="0"/>
        <w:pageBreakBefore w:val="0"/>
        <w:widowControl w:val="0"/>
        <w:kinsoku/>
        <w:wordWrap/>
        <w:overflowPunct/>
        <w:topLinePunct w:val="0"/>
        <w:autoSpaceDE/>
        <w:autoSpaceDN/>
        <w:bidi w:val="0"/>
        <w:adjustRightInd/>
        <w:snapToGrid/>
        <w:ind w:firstLine="643" w:firstLineChars="200"/>
        <w:textAlignment w:val="auto"/>
        <w:rPr>
          <w:rFonts w:hint="default" w:eastAsia="楷体" w:asciiTheme="minorAscii" w:hAnsiTheme="minorAscii"/>
          <w:b/>
          <w:bCs/>
          <w:sz w:val="32"/>
        </w:rPr>
      </w:pPr>
      <w:r>
        <w:rPr>
          <w:rFonts w:hint="default" w:eastAsia="楷体" w:asciiTheme="minorAscii" w:hAnsiTheme="minorAscii"/>
          <w:b/>
          <w:bCs/>
          <w:sz w:val="32"/>
        </w:rPr>
        <w:t>（一）项目决策情况分析</w:t>
      </w:r>
    </w:p>
    <w:p w14:paraId="622D45FD">
      <w:pPr>
        <w:keepNext w:val="0"/>
        <w:keepLines w:val="0"/>
        <w:pageBreakBefore w:val="0"/>
        <w:widowControl w:val="0"/>
        <w:kinsoku/>
        <w:wordWrap/>
        <w:overflowPunct/>
        <w:topLinePunct w:val="0"/>
        <w:autoSpaceDE/>
        <w:autoSpaceDN/>
        <w:bidi w:val="0"/>
        <w:adjustRightInd/>
        <w:snapToGrid/>
        <w:ind w:firstLine="643" w:firstLineChars="200"/>
        <w:textAlignment w:val="auto"/>
        <w:rPr>
          <w:rFonts w:hint="default" w:eastAsia="仿宋" w:asciiTheme="minorAscii" w:hAnsiTheme="minorAscii"/>
          <w:b/>
          <w:sz w:val="32"/>
          <w:lang w:val="en-US" w:eastAsia="zh-CN"/>
        </w:rPr>
      </w:pPr>
      <w:r>
        <w:rPr>
          <w:rFonts w:hint="default" w:eastAsia="仿宋" w:asciiTheme="minorAscii" w:hAnsiTheme="minorAscii"/>
          <w:b/>
          <w:sz w:val="32"/>
          <w:lang w:val="en-US" w:eastAsia="zh-CN"/>
        </w:rPr>
        <w:t>1.项目立项</w:t>
      </w:r>
    </w:p>
    <w:p w14:paraId="6E21CDB6">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default" w:eastAsia="仿宋" w:asciiTheme="minorAscii" w:hAnsiTheme="minorAscii"/>
          <w:sz w:val="32"/>
        </w:rPr>
      </w:pPr>
      <w:r>
        <w:rPr>
          <w:rFonts w:hint="default" w:eastAsia="仿宋" w:asciiTheme="minorAscii" w:hAnsiTheme="minorAscii"/>
          <w:sz w:val="32"/>
        </w:rPr>
        <w:t>该项目立项符合法律法规、相关政策、发展规划以及部门职责，项目申请、设立过程符合相关要求。</w:t>
      </w:r>
    </w:p>
    <w:p w14:paraId="6C518065">
      <w:pPr>
        <w:keepNext w:val="0"/>
        <w:keepLines w:val="0"/>
        <w:pageBreakBefore w:val="0"/>
        <w:widowControl w:val="0"/>
        <w:kinsoku/>
        <w:wordWrap/>
        <w:overflowPunct/>
        <w:topLinePunct w:val="0"/>
        <w:autoSpaceDE/>
        <w:autoSpaceDN/>
        <w:bidi w:val="0"/>
        <w:adjustRightInd/>
        <w:snapToGrid/>
        <w:ind w:firstLine="643" w:firstLineChars="200"/>
        <w:textAlignment w:val="auto"/>
        <w:rPr>
          <w:rFonts w:hint="default" w:eastAsia="仿宋" w:asciiTheme="minorAscii" w:hAnsiTheme="minorAscii"/>
          <w:b/>
          <w:sz w:val="32"/>
          <w:lang w:val="en-US" w:eastAsia="zh-CN"/>
        </w:rPr>
      </w:pPr>
      <w:r>
        <w:rPr>
          <w:rFonts w:hint="default" w:eastAsia="仿宋" w:asciiTheme="minorAscii" w:hAnsiTheme="minorAscii"/>
          <w:b/>
          <w:sz w:val="32"/>
          <w:lang w:val="en-US" w:eastAsia="zh-CN"/>
        </w:rPr>
        <w:t>2.绩效目标</w:t>
      </w:r>
    </w:p>
    <w:p w14:paraId="795AA877">
      <w:pPr>
        <w:keepNext w:val="0"/>
        <w:keepLines w:val="0"/>
        <w:pageBreakBefore w:val="0"/>
        <w:widowControl w:val="0"/>
        <w:kinsoku/>
        <w:wordWrap/>
        <w:overflowPunct/>
        <w:topLinePunct w:val="0"/>
        <w:autoSpaceDE/>
        <w:autoSpaceDN/>
        <w:bidi w:val="0"/>
        <w:adjustRightInd/>
        <w:snapToGrid/>
        <w:ind w:firstLine="643" w:firstLineChars="200"/>
        <w:textAlignment w:val="auto"/>
        <w:rPr>
          <w:rFonts w:hint="default" w:eastAsia="仿宋" w:asciiTheme="minorAscii" w:hAnsiTheme="minorAscii"/>
          <w:sz w:val="32"/>
        </w:rPr>
      </w:pPr>
      <w:r>
        <w:rPr>
          <w:rFonts w:hint="default" w:eastAsia="仿宋" w:asciiTheme="minorAscii" w:hAnsiTheme="minorAscii"/>
          <w:b/>
          <w:bCs/>
          <w:sz w:val="32"/>
        </w:rPr>
        <w:t>（1）绩效目标合理性：</w:t>
      </w:r>
      <w:r>
        <w:rPr>
          <w:rFonts w:hint="default" w:eastAsia="仿宋" w:asciiTheme="minorAscii" w:hAnsiTheme="minorAscii"/>
          <w:sz w:val="32"/>
        </w:rPr>
        <w:t>该项目有绩效目标，且项目绩效目标与实际工作内容具有相关性、项目预期产出效益和效果符合正常的业绩水平、与预算确定的项</w:t>
      </w:r>
    </w:p>
    <w:p w14:paraId="5FACD9EC">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default" w:eastAsia="仿宋" w:asciiTheme="minorAscii" w:hAnsiTheme="minorAscii"/>
          <w:sz w:val="32"/>
        </w:rPr>
      </w:pPr>
      <w:r>
        <w:rPr>
          <w:rFonts w:hint="default" w:eastAsia="仿宋" w:asciiTheme="minorAscii" w:hAnsiTheme="minorAscii"/>
          <w:sz w:val="32"/>
        </w:rPr>
        <w:t>目投资额或资金量相匹配。</w:t>
      </w:r>
    </w:p>
    <w:p w14:paraId="379AC96E">
      <w:pPr>
        <w:keepNext w:val="0"/>
        <w:keepLines w:val="0"/>
        <w:pageBreakBefore w:val="0"/>
        <w:widowControl w:val="0"/>
        <w:kinsoku/>
        <w:wordWrap/>
        <w:overflowPunct/>
        <w:topLinePunct w:val="0"/>
        <w:autoSpaceDE/>
        <w:autoSpaceDN/>
        <w:bidi w:val="0"/>
        <w:adjustRightInd/>
        <w:snapToGrid/>
        <w:ind w:firstLine="643" w:firstLineChars="200"/>
        <w:textAlignment w:val="auto"/>
        <w:rPr>
          <w:rFonts w:hint="default" w:eastAsia="仿宋" w:asciiTheme="minorAscii" w:hAnsiTheme="minorAscii"/>
          <w:sz w:val="32"/>
        </w:rPr>
      </w:pPr>
      <w:r>
        <w:rPr>
          <w:rFonts w:hint="default" w:eastAsia="仿宋" w:asciiTheme="minorAscii" w:hAnsiTheme="minorAscii"/>
          <w:b/>
          <w:bCs/>
          <w:sz w:val="32"/>
        </w:rPr>
        <w:t>（2）绩效指标明确性：</w:t>
      </w:r>
      <w:r>
        <w:rPr>
          <w:rFonts w:hint="default" w:eastAsia="仿宋" w:asciiTheme="minorAscii" w:hAnsiTheme="minorAscii"/>
          <w:sz w:val="32"/>
        </w:rPr>
        <w:t>该项目已将绩效目标细化分解为具体的绩效指标，并通过清晰、可衡量的指标值予以体现，与项目目标任务数或计划数相对应。</w:t>
      </w:r>
    </w:p>
    <w:p w14:paraId="1ED7CCD5">
      <w:pPr>
        <w:keepNext w:val="0"/>
        <w:keepLines w:val="0"/>
        <w:pageBreakBefore w:val="0"/>
        <w:widowControl w:val="0"/>
        <w:kinsoku/>
        <w:wordWrap/>
        <w:overflowPunct/>
        <w:topLinePunct w:val="0"/>
        <w:autoSpaceDE/>
        <w:autoSpaceDN/>
        <w:bidi w:val="0"/>
        <w:adjustRightInd/>
        <w:snapToGrid/>
        <w:ind w:firstLine="643" w:firstLineChars="200"/>
        <w:textAlignment w:val="auto"/>
        <w:rPr>
          <w:rFonts w:hint="default" w:eastAsia="仿宋" w:asciiTheme="minorAscii" w:hAnsiTheme="minorAscii"/>
          <w:b/>
          <w:sz w:val="32"/>
          <w:lang w:val="en-US" w:eastAsia="zh-CN"/>
        </w:rPr>
      </w:pPr>
      <w:r>
        <w:rPr>
          <w:rFonts w:hint="default" w:eastAsia="仿宋" w:asciiTheme="minorAscii" w:hAnsiTheme="minorAscii"/>
          <w:b/>
          <w:sz w:val="32"/>
          <w:lang w:val="en-US" w:eastAsia="zh-CN"/>
        </w:rPr>
        <w:t>3.资金投入</w:t>
      </w:r>
    </w:p>
    <w:p w14:paraId="75DA56C4">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default" w:eastAsia="仿宋" w:asciiTheme="minorAscii" w:hAnsiTheme="minorAscii"/>
          <w:sz w:val="32"/>
          <w:lang w:val="en-US" w:eastAsia="zh-CN"/>
        </w:rPr>
      </w:pPr>
      <w:r>
        <w:rPr>
          <w:rFonts w:hint="default" w:eastAsia="仿宋" w:asciiTheme="minorAscii" w:hAnsiTheme="minorAscii"/>
          <w:sz w:val="32"/>
        </w:rPr>
        <w:t>该项目预算编制科学，预算内容与项目内容匹配；预算资金分配依据充分合</w:t>
      </w:r>
      <w:r>
        <w:rPr>
          <w:rFonts w:hint="default" w:eastAsia="仿宋" w:asciiTheme="minorAscii" w:hAnsiTheme="minorAscii"/>
          <w:sz w:val="32"/>
          <w:lang w:val="en-US" w:eastAsia="zh-CN"/>
        </w:rPr>
        <w:t>理。</w:t>
      </w:r>
    </w:p>
    <w:p w14:paraId="563483CA">
      <w:pPr>
        <w:keepNext w:val="0"/>
        <w:keepLines w:val="0"/>
        <w:pageBreakBefore w:val="0"/>
        <w:widowControl w:val="0"/>
        <w:kinsoku/>
        <w:wordWrap/>
        <w:overflowPunct/>
        <w:topLinePunct w:val="0"/>
        <w:autoSpaceDE/>
        <w:autoSpaceDN/>
        <w:bidi w:val="0"/>
        <w:adjustRightInd/>
        <w:snapToGrid/>
        <w:ind w:firstLine="643" w:firstLineChars="200"/>
        <w:textAlignment w:val="auto"/>
        <w:rPr>
          <w:rFonts w:hint="default" w:eastAsia="楷体" w:asciiTheme="minorAscii" w:hAnsiTheme="minorAscii"/>
          <w:b/>
          <w:bCs/>
          <w:sz w:val="32"/>
        </w:rPr>
      </w:pPr>
      <w:r>
        <w:rPr>
          <w:rFonts w:hint="default" w:eastAsia="楷体" w:asciiTheme="minorAscii" w:hAnsiTheme="minorAscii"/>
          <w:b/>
          <w:bCs/>
          <w:sz w:val="32"/>
        </w:rPr>
        <w:t>（二）项目过程情况分析</w:t>
      </w:r>
    </w:p>
    <w:p w14:paraId="38871FD9">
      <w:pPr>
        <w:keepNext w:val="0"/>
        <w:keepLines w:val="0"/>
        <w:pageBreakBefore w:val="0"/>
        <w:widowControl w:val="0"/>
        <w:kinsoku/>
        <w:wordWrap/>
        <w:overflowPunct/>
        <w:topLinePunct w:val="0"/>
        <w:autoSpaceDE/>
        <w:autoSpaceDN/>
        <w:bidi w:val="0"/>
        <w:adjustRightInd/>
        <w:snapToGrid/>
        <w:ind w:firstLine="643" w:firstLineChars="200"/>
        <w:textAlignment w:val="auto"/>
        <w:rPr>
          <w:rFonts w:hint="default" w:eastAsia="仿宋" w:asciiTheme="minorAscii" w:hAnsiTheme="minorAscii"/>
          <w:b/>
          <w:sz w:val="32"/>
          <w:lang w:val="en-US" w:eastAsia="zh-CN"/>
        </w:rPr>
      </w:pPr>
      <w:r>
        <w:rPr>
          <w:rFonts w:hint="default" w:eastAsia="仿宋" w:asciiTheme="minorAscii" w:hAnsiTheme="minorAscii"/>
          <w:b/>
          <w:sz w:val="32"/>
          <w:lang w:val="en-US" w:eastAsia="zh-CN"/>
        </w:rPr>
        <w:t>1.资金管理</w:t>
      </w:r>
    </w:p>
    <w:p w14:paraId="391C38BF">
      <w:pPr>
        <w:keepNext w:val="0"/>
        <w:keepLines w:val="0"/>
        <w:pageBreakBefore w:val="0"/>
        <w:widowControl w:val="0"/>
        <w:kinsoku/>
        <w:wordWrap/>
        <w:overflowPunct/>
        <w:topLinePunct w:val="0"/>
        <w:autoSpaceDE/>
        <w:autoSpaceDN/>
        <w:bidi w:val="0"/>
        <w:adjustRightInd/>
        <w:snapToGrid/>
        <w:ind w:firstLine="643" w:firstLineChars="200"/>
        <w:textAlignment w:val="auto"/>
        <w:rPr>
          <w:rFonts w:hint="default" w:eastAsia="仿宋" w:asciiTheme="minorAscii" w:hAnsiTheme="minorAscii"/>
          <w:sz w:val="32"/>
          <w:lang w:val="en-US" w:eastAsia="zh-CN"/>
        </w:rPr>
      </w:pPr>
      <w:r>
        <w:rPr>
          <w:rFonts w:hint="default" w:eastAsia="仿宋" w:asciiTheme="minorAscii" w:hAnsiTheme="minorAscii"/>
          <w:b/>
          <w:bCs/>
          <w:sz w:val="32"/>
        </w:rPr>
        <w:t>（1）资金到位率：</w:t>
      </w:r>
      <w:r>
        <w:rPr>
          <w:rFonts w:hint="default" w:eastAsia="仿宋" w:asciiTheme="minorAscii" w:hAnsiTheme="minorAscii"/>
          <w:sz w:val="32"/>
        </w:rPr>
        <w:t>项目预算资金</w:t>
      </w:r>
      <w:r>
        <w:rPr>
          <w:rFonts w:hint="default" w:eastAsia="仿宋" w:asciiTheme="minorAscii" w:hAnsiTheme="minorAscii"/>
          <w:sz w:val="32"/>
          <w:lang w:val="en-US" w:eastAsia="zh-CN"/>
        </w:rPr>
        <w:t>1430</w:t>
      </w:r>
      <w:r>
        <w:rPr>
          <w:rFonts w:hint="default" w:eastAsia="仿宋" w:asciiTheme="minorAscii" w:hAnsiTheme="minorAscii"/>
          <w:sz w:val="32"/>
        </w:rPr>
        <w:t>万元，实际到位资金</w:t>
      </w:r>
      <w:r>
        <w:rPr>
          <w:rFonts w:hint="default" w:eastAsia="仿宋" w:asciiTheme="minorAscii" w:hAnsiTheme="minorAscii"/>
          <w:sz w:val="32"/>
          <w:lang w:val="en-US" w:eastAsia="zh-CN"/>
        </w:rPr>
        <w:t>1212.87</w:t>
      </w:r>
      <w:r>
        <w:rPr>
          <w:rFonts w:hint="default" w:eastAsia="仿宋" w:asciiTheme="minorAscii" w:hAnsiTheme="minorAscii"/>
          <w:sz w:val="32"/>
        </w:rPr>
        <w:t>万元，资金</w:t>
      </w:r>
      <w:r>
        <w:rPr>
          <w:rFonts w:hint="default" w:eastAsia="仿宋" w:asciiTheme="minorAscii" w:hAnsiTheme="minorAscii"/>
          <w:sz w:val="32"/>
          <w:lang w:val="en-US" w:eastAsia="zh-CN"/>
        </w:rPr>
        <w:t>到位率85%</w:t>
      </w:r>
    </w:p>
    <w:p w14:paraId="6987B237">
      <w:pPr>
        <w:keepNext w:val="0"/>
        <w:keepLines w:val="0"/>
        <w:pageBreakBefore w:val="0"/>
        <w:widowControl w:val="0"/>
        <w:kinsoku/>
        <w:wordWrap/>
        <w:overflowPunct/>
        <w:topLinePunct w:val="0"/>
        <w:autoSpaceDE/>
        <w:autoSpaceDN/>
        <w:bidi w:val="0"/>
        <w:adjustRightInd/>
        <w:snapToGrid/>
        <w:ind w:firstLine="643" w:firstLineChars="200"/>
        <w:textAlignment w:val="auto"/>
        <w:rPr>
          <w:rFonts w:hint="default" w:eastAsia="仿宋" w:asciiTheme="minorAscii" w:hAnsiTheme="minorAscii"/>
          <w:sz w:val="32"/>
          <w:lang w:val="en-US" w:eastAsia="zh-CN"/>
        </w:rPr>
      </w:pPr>
      <w:r>
        <w:rPr>
          <w:rFonts w:hint="default" w:eastAsia="仿宋" w:asciiTheme="minorAscii" w:hAnsiTheme="minorAscii"/>
          <w:b/>
          <w:bCs/>
          <w:sz w:val="32"/>
        </w:rPr>
        <w:t>（2）预算执行率</w:t>
      </w:r>
      <w:r>
        <w:rPr>
          <w:rFonts w:hint="default" w:eastAsia="仿宋" w:asciiTheme="minorAscii" w:hAnsiTheme="minorAscii"/>
          <w:sz w:val="32"/>
        </w:rPr>
        <w:t>：项目实际支出资金</w:t>
      </w:r>
      <w:r>
        <w:rPr>
          <w:rFonts w:hint="default" w:eastAsia="仿宋" w:asciiTheme="minorAscii" w:hAnsiTheme="minorAscii"/>
          <w:sz w:val="32"/>
          <w:lang w:val="en-US" w:eastAsia="zh-CN"/>
        </w:rPr>
        <w:t>212.87</w:t>
      </w:r>
      <w:r>
        <w:rPr>
          <w:rFonts w:hint="default" w:eastAsia="仿宋" w:asciiTheme="minorAscii" w:hAnsiTheme="minorAscii"/>
          <w:sz w:val="32"/>
        </w:rPr>
        <w:t>万元，无剩余资金，预算执</w:t>
      </w:r>
      <w:r>
        <w:rPr>
          <w:rFonts w:hint="default" w:eastAsia="仿宋" w:asciiTheme="minorAscii" w:hAnsiTheme="minorAscii"/>
          <w:sz w:val="32"/>
          <w:lang w:val="en-US" w:eastAsia="zh-CN"/>
        </w:rPr>
        <w:t>100%</w:t>
      </w:r>
    </w:p>
    <w:p w14:paraId="580A8DDE">
      <w:pPr>
        <w:keepNext w:val="0"/>
        <w:keepLines w:val="0"/>
        <w:pageBreakBefore w:val="0"/>
        <w:widowControl w:val="0"/>
        <w:kinsoku/>
        <w:wordWrap/>
        <w:overflowPunct/>
        <w:topLinePunct w:val="0"/>
        <w:autoSpaceDE/>
        <w:autoSpaceDN/>
        <w:bidi w:val="0"/>
        <w:adjustRightInd/>
        <w:snapToGrid/>
        <w:ind w:firstLine="643" w:firstLineChars="200"/>
        <w:textAlignment w:val="auto"/>
        <w:rPr>
          <w:rFonts w:hint="default" w:eastAsia="仿宋" w:asciiTheme="minorAscii" w:hAnsiTheme="minorAscii"/>
          <w:sz w:val="32"/>
          <w:lang w:val="en-US" w:eastAsia="zh-CN"/>
        </w:rPr>
      </w:pPr>
      <w:r>
        <w:rPr>
          <w:rFonts w:hint="default" w:eastAsia="仿宋" w:asciiTheme="minorAscii" w:hAnsiTheme="minorAscii"/>
          <w:b/>
          <w:bCs/>
          <w:sz w:val="32"/>
        </w:rPr>
        <w:t>（3）会计核算规范性：</w:t>
      </w:r>
      <w:r>
        <w:rPr>
          <w:rFonts w:hint="default" w:eastAsia="仿宋" w:asciiTheme="minorAscii" w:hAnsiTheme="minorAscii"/>
          <w:sz w:val="32"/>
        </w:rPr>
        <w:t>该项目会计核算真实、准确和规范，项目会计核算</w:t>
      </w:r>
      <w:r>
        <w:rPr>
          <w:rFonts w:hint="default" w:eastAsia="仿宋" w:asciiTheme="minorAscii" w:hAnsiTheme="minorAscii"/>
          <w:sz w:val="32"/>
          <w:lang w:val="en-US" w:eastAsia="zh-CN"/>
        </w:rPr>
        <w:t>相关资料完整。</w:t>
      </w:r>
    </w:p>
    <w:p w14:paraId="343B029C">
      <w:pPr>
        <w:keepNext w:val="0"/>
        <w:keepLines w:val="0"/>
        <w:pageBreakBefore w:val="0"/>
        <w:widowControl w:val="0"/>
        <w:kinsoku/>
        <w:wordWrap/>
        <w:overflowPunct/>
        <w:topLinePunct w:val="0"/>
        <w:autoSpaceDE/>
        <w:autoSpaceDN/>
        <w:bidi w:val="0"/>
        <w:adjustRightInd/>
        <w:snapToGrid/>
        <w:ind w:firstLine="643" w:firstLineChars="200"/>
        <w:textAlignment w:val="auto"/>
        <w:rPr>
          <w:rFonts w:hint="default" w:eastAsia="仿宋" w:asciiTheme="minorAscii" w:hAnsiTheme="minorAscii"/>
          <w:sz w:val="32"/>
        </w:rPr>
      </w:pPr>
      <w:r>
        <w:rPr>
          <w:rFonts w:hint="default" w:eastAsia="仿宋" w:asciiTheme="minorAscii" w:hAnsiTheme="minorAscii"/>
          <w:b/>
          <w:bCs/>
          <w:sz w:val="32"/>
        </w:rPr>
        <w:t>（4）资金使用合规性：</w:t>
      </w:r>
      <w:r>
        <w:rPr>
          <w:rFonts w:hint="default" w:eastAsia="仿宋" w:asciiTheme="minorAscii" w:hAnsiTheme="minorAscii"/>
          <w:sz w:val="32"/>
        </w:rPr>
        <w:t>该项目资金使用符合国家财经法规和财务管理制度以及有关专项资金管理办法的规定，资金的`拨付有完整的审批程序和手续，符合项目预算批复或合同规定的用途，未发现存在截留、挤占、挪用、虚列支出等情况。</w:t>
      </w:r>
    </w:p>
    <w:p w14:paraId="44354F5D">
      <w:pPr>
        <w:keepNext w:val="0"/>
        <w:keepLines w:val="0"/>
        <w:pageBreakBefore w:val="0"/>
        <w:widowControl w:val="0"/>
        <w:kinsoku/>
        <w:wordWrap/>
        <w:overflowPunct/>
        <w:topLinePunct w:val="0"/>
        <w:autoSpaceDE/>
        <w:autoSpaceDN/>
        <w:bidi w:val="0"/>
        <w:adjustRightInd/>
        <w:snapToGrid/>
        <w:ind w:firstLine="643" w:firstLineChars="200"/>
        <w:textAlignment w:val="auto"/>
        <w:rPr>
          <w:rFonts w:hint="default" w:eastAsia="仿宋" w:asciiTheme="minorAscii" w:hAnsiTheme="minorAscii"/>
          <w:b/>
          <w:sz w:val="32"/>
          <w:lang w:val="en-US" w:eastAsia="zh-CN"/>
        </w:rPr>
      </w:pPr>
      <w:r>
        <w:rPr>
          <w:rFonts w:hint="default" w:eastAsia="仿宋" w:asciiTheme="minorAscii" w:hAnsiTheme="minorAscii"/>
          <w:b/>
          <w:sz w:val="32"/>
          <w:lang w:val="en-US" w:eastAsia="zh-CN"/>
        </w:rPr>
        <w:t>2.组织实施</w:t>
      </w:r>
    </w:p>
    <w:p w14:paraId="64E374F3">
      <w:pPr>
        <w:keepNext w:val="0"/>
        <w:keepLines w:val="0"/>
        <w:pageBreakBefore w:val="0"/>
        <w:widowControl w:val="0"/>
        <w:kinsoku/>
        <w:wordWrap/>
        <w:overflowPunct/>
        <w:topLinePunct w:val="0"/>
        <w:autoSpaceDE/>
        <w:autoSpaceDN/>
        <w:bidi w:val="0"/>
        <w:adjustRightInd/>
        <w:snapToGrid/>
        <w:ind w:firstLine="643" w:firstLineChars="200"/>
        <w:textAlignment w:val="auto"/>
        <w:rPr>
          <w:rFonts w:hint="default" w:eastAsia="仿宋" w:asciiTheme="minorAscii" w:hAnsiTheme="minorAscii"/>
          <w:sz w:val="32"/>
        </w:rPr>
      </w:pPr>
      <w:r>
        <w:rPr>
          <w:rFonts w:hint="default" w:eastAsia="仿宋" w:asciiTheme="minorAscii" w:hAnsiTheme="minorAscii"/>
          <w:b/>
          <w:bCs/>
          <w:sz w:val="32"/>
        </w:rPr>
        <w:t>（1）管理制度健全性：</w:t>
      </w:r>
      <w:r>
        <w:rPr>
          <w:rFonts w:hint="default" w:eastAsia="仿宋" w:asciiTheme="minorAscii" w:hAnsiTheme="minorAscii"/>
          <w:sz w:val="32"/>
        </w:rPr>
        <w:t>项目实施单位执行《政府会计制度》财务管理制度和相关业务管理制度，管理制度合法、合规、完整。</w:t>
      </w:r>
    </w:p>
    <w:p w14:paraId="158059D3">
      <w:pPr>
        <w:keepNext w:val="0"/>
        <w:keepLines w:val="0"/>
        <w:pageBreakBefore w:val="0"/>
        <w:widowControl w:val="0"/>
        <w:kinsoku/>
        <w:wordWrap/>
        <w:overflowPunct/>
        <w:topLinePunct w:val="0"/>
        <w:autoSpaceDE/>
        <w:autoSpaceDN/>
        <w:bidi w:val="0"/>
        <w:adjustRightInd/>
        <w:snapToGrid/>
        <w:ind w:firstLine="643" w:firstLineChars="200"/>
        <w:textAlignment w:val="auto"/>
        <w:rPr>
          <w:rFonts w:hint="default" w:eastAsia="仿宋" w:asciiTheme="minorAscii" w:hAnsiTheme="minorAscii"/>
          <w:sz w:val="32"/>
        </w:rPr>
      </w:pPr>
      <w:r>
        <w:rPr>
          <w:rFonts w:hint="default" w:eastAsia="仿宋" w:asciiTheme="minorAscii" w:hAnsiTheme="minorAscii"/>
          <w:b/>
          <w:bCs/>
          <w:sz w:val="32"/>
        </w:rPr>
        <w:t>（2）制度执行有效性：</w:t>
      </w:r>
      <w:r>
        <w:rPr>
          <w:rFonts w:hint="default" w:eastAsia="仿宋" w:asciiTheme="minorAscii" w:hAnsiTheme="minorAscii"/>
          <w:sz w:val="32"/>
        </w:rPr>
        <w:t>该项目实施过程中遵守相关法律法规和相关管理规定，项目合同书、验收报告等资料齐全并及时归档，项目实施人员等实施条件落实到位。</w:t>
      </w:r>
    </w:p>
    <w:p w14:paraId="07FDDBAD">
      <w:pPr>
        <w:keepNext w:val="0"/>
        <w:keepLines w:val="0"/>
        <w:pageBreakBefore w:val="0"/>
        <w:widowControl w:val="0"/>
        <w:kinsoku/>
        <w:wordWrap/>
        <w:overflowPunct/>
        <w:topLinePunct w:val="0"/>
        <w:autoSpaceDE/>
        <w:autoSpaceDN/>
        <w:bidi w:val="0"/>
        <w:adjustRightInd/>
        <w:snapToGrid/>
        <w:ind w:firstLine="643" w:firstLineChars="200"/>
        <w:textAlignment w:val="auto"/>
        <w:rPr>
          <w:rFonts w:hint="default" w:eastAsia="仿宋" w:asciiTheme="minorAscii" w:hAnsiTheme="minorAscii"/>
          <w:sz w:val="32"/>
          <w:lang w:val="en-US" w:eastAsia="zh-CN"/>
        </w:rPr>
      </w:pPr>
      <w:r>
        <w:rPr>
          <w:rFonts w:hint="default" w:eastAsia="仿宋" w:asciiTheme="minorAscii" w:hAnsiTheme="minorAscii"/>
          <w:b/>
          <w:bCs/>
          <w:sz w:val="32"/>
        </w:rPr>
        <w:t>（3）档案管理规范性</w:t>
      </w:r>
      <w:r>
        <w:rPr>
          <w:rFonts w:hint="default" w:eastAsia="仿宋" w:asciiTheme="minorAscii" w:hAnsiTheme="minorAscii"/>
          <w:sz w:val="32"/>
        </w:rPr>
        <w:t>：项目档案统一指定专人负责管理，档案资料完整、</w:t>
      </w:r>
      <w:r>
        <w:rPr>
          <w:rFonts w:hint="default" w:eastAsia="仿宋" w:asciiTheme="minorAscii" w:hAnsiTheme="minorAscii"/>
          <w:sz w:val="32"/>
          <w:lang w:val="en-US" w:eastAsia="zh-CN"/>
        </w:rPr>
        <w:t>齐全并已归档</w:t>
      </w:r>
    </w:p>
    <w:p w14:paraId="2D4CE395">
      <w:pPr>
        <w:keepNext w:val="0"/>
        <w:keepLines w:val="0"/>
        <w:pageBreakBefore w:val="0"/>
        <w:widowControl w:val="0"/>
        <w:kinsoku/>
        <w:wordWrap/>
        <w:overflowPunct/>
        <w:topLinePunct w:val="0"/>
        <w:autoSpaceDE/>
        <w:autoSpaceDN/>
        <w:bidi w:val="0"/>
        <w:adjustRightInd/>
        <w:snapToGrid/>
        <w:ind w:firstLine="643" w:firstLineChars="200"/>
        <w:textAlignment w:val="auto"/>
        <w:rPr>
          <w:rFonts w:hint="default" w:eastAsia="楷体" w:asciiTheme="minorAscii" w:hAnsiTheme="minorAscii"/>
          <w:b/>
          <w:bCs/>
          <w:sz w:val="32"/>
        </w:rPr>
      </w:pPr>
      <w:r>
        <w:rPr>
          <w:rFonts w:hint="default" w:eastAsia="楷体" w:asciiTheme="minorAscii" w:hAnsiTheme="minorAscii"/>
          <w:b/>
          <w:bCs/>
          <w:sz w:val="32"/>
        </w:rPr>
        <w:t>（三）项目产出情况分析</w:t>
      </w:r>
    </w:p>
    <w:p w14:paraId="56EA9CD9">
      <w:pPr>
        <w:keepNext w:val="0"/>
        <w:keepLines w:val="0"/>
        <w:pageBreakBefore w:val="0"/>
        <w:widowControl w:val="0"/>
        <w:kinsoku/>
        <w:wordWrap/>
        <w:overflowPunct/>
        <w:topLinePunct w:val="0"/>
        <w:autoSpaceDE/>
        <w:autoSpaceDN/>
        <w:bidi w:val="0"/>
        <w:adjustRightInd/>
        <w:snapToGrid/>
        <w:ind w:firstLine="643" w:firstLineChars="200"/>
        <w:textAlignment w:val="auto"/>
        <w:rPr>
          <w:rFonts w:hint="default" w:eastAsia="仿宋" w:asciiTheme="minorAscii" w:hAnsiTheme="minorAscii"/>
          <w:b/>
          <w:sz w:val="32"/>
          <w:lang w:val="en-US" w:eastAsia="zh-CN"/>
        </w:rPr>
      </w:pPr>
      <w:r>
        <w:rPr>
          <w:rFonts w:hint="default" w:eastAsia="仿宋" w:asciiTheme="minorAscii" w:hAnsiTheme="minorAscii"/>
          <w:b/>
          <w:sz w:val="32"/>
          <w:lang w:val="en-US" w:eastAsia="zh-CN"/>
        </w:rPr>
        <w:t>1.产出数量</w:t>
      </w:r>
    </w:p>
    <w:p w14:paraId="421B7F51">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default" w:eastAsia="仿宋" w:asciiTheme="minorAscii" w:hAnsiTheme="minorAscii"/>
          <w:sz w:val="32"/>
        </w:rPr>
      </w:pPr>
      <w:r>
        <w:rPr>
          <w:rFonts w:hint="default" w:eastAsia="仿宋" w:asciiTheme="minorAscii" w:hAnsiTheme="minorAscii"/>
          <w:b w:val="0"/>
          <w:bCs w:val="0"/>
          <w:sz w:val="32"/>
        </w:rPr>
        <w:t>实际完成率：</w:t>
      </w:r>
      <w:r>
        <w:rPr>
          <w:rFonts w:hint="default" w:eastAsia="仿宋" w:asciiTheme="minorAscii" w:hAnsiTheme="minorAscii"/>
          <w:sz w:val="32"/>
        </w:rPr>
        <w:t>项目计划保障</w:t>
      </w:r>
      <w:r>
        <w:rPr>
          <w:rFonts w:hint="default" w:eastAsia="仿宋" w:asciiTheme="minorAscii" w:hAnsiTheme="minorAscii"/>
          <w:sz w:val="32"/>
          <w:lang w:val="en-US" w:eastAsia="zh-CN"/>
        </w:rPr>
        <w:t>地方生态环境修复</w:t>
      </w:r>
      <w:r>
        <w:rPr>
          <w:rFonts w:hint="default" w:eastAsia="仿宋" w:asciiTheme="minorAscii" w:hAnsiTheme="minorAscii"/>
          <w:sz w:val="32"/>
        </w:rPr>
        <w:t>，</w:t>
      </w:r>
      <w:r>
        <w:rPr>
          <w:rFonts w:hint="default" w:eastAsia="仿宋" w:asciiTheme="minorAscii" w:hAnsiTheme="minorAscii"/>
          <w:sz w:val="32"/>
          <w:lang w:val="en-US" w:eastAsia="zh-CN"/>
        </w:rPr>
        <w:t>城乡公共环境卫生，工业园建设</w:t>
      </w:r>
      <w:r>
        <w:rPr>
          <w:rFonts w:hint="default" w:eastAsia="仿宋" w:asciiTheme="minorAscii" w:hAnsiTheme="minorAscii"/>
          <w:sz w:val="32"/>
        </w:rPr>
        <w:t>项目已完成“项目绩效阶段性目标”里的详细建设内容，实际完成率100.00%。该项指标8分，评价得分8分。</w:t>
      </w:r>
    </w:p>
    <w:p w14:paraId="2123F7E1">
      <w:pPr>
        <w:keepNext w:val="0"/>
        <w:keepLines w:val="0"/>
        <w:pageBreakBefore w:val="0"/>
        <w:widowControl w:val="0"/>
        <w:kinsoku/>
        <w:wordWrap/>
        <w:overflowPunct/>
        <w:topLinePunct w:val="0"/>
        <w:autoSpaceDE/>
        <w:autoSpaceDN/>
        <w:bidi w:val="0"/>
        <w:adjustRightInd/>
        <w:snapToGrid/>
        <w:ind w:firstLine="643" w:firstLineChars="200"/>
        <w:textAlignment w:val="auto"/>
        <w:rPr>
          <w:rFonts w:hint="default" w:eastAsia="仿宋" w:asciiTheme="minorAscii" w:hAnsiTheme="minorAscii"/>
          <w:sz w:val="32"/>
          <w:lang w:val="en-US" w:eastAsia="zh-CN"/>
        </w:rPr>
      </w:pPr>
      <w:r>
        <w:rPr>
          <w:rFonts w:hint="default" w:eastAsia="仿宋" w:asciiTheme="minorAscii" w:hAnsiTheme="minorAscii"/>
          <w:b/>
          <w:bCs/>
          <w:sz w:val="32"/>
        </w:rPr>
        <w:t>2.产出时效完成及时性：</w:t>
      </w:r>
      <w:r>
        <w:rPr>
          <w:rFonts w:hint="default" w:eastAsia="仿宋" w:asciiTheme="minorAscii" w:hAnsiTheme="minorAscii"/>
          <w:sz w:val="32"/>
        </w:rPr>
        <w:t>项目计划完成时间12月，实际完成时间12月，在计划时间</w:t>
      </w:r>
      <w:r>
        <w:rPr>
          <w:rFonts w:hint="default" w:eastAsia="仿宋" w:asciiTheme="minorAscii" w:hAnsiTheme="minorAscii"/>
          <w:sz w:val="32"/>
          <w:lang w:val="en-US" w:eastAsia="zh-CN"/>
        </w:rPr>
        <w:t>内完成项目</w:t>
      </w:r>
    </w:p>
    <w:p w14:paraId="224B37BF">
      <w:pPr>
        <w:keepNext w:val="0"/>
        <w:keepLines w:val="0"/>
        <w:pageBreakBefore w:val="0"/>
        <w:widowControl w:val="0"/>
        <w:kinsoku/>
        <w:wordWrap/>
        <w:overflowPunct/>
        <w:topLinePunct w:val="0"/>
        <w:autoSpaceDE/>
        <w:autoSpaceDN/>
        <w:bidi w:val="0"/>
        <w:adjustRightInd/>
        <w:snapToGrid/>
        <w:ind w:firstLine="643" w:firstLineChars="200"/>
        <w:textAlignment w:val="auto"/>
        <w:rPr>
          <w:rFonts w:hint="default" w:eastAsia="仿宋" w:asciiTheme="minorAscii" w:hAnsiTheme="minorAscii"/>
          <w:b/>
          <w:bCs/>
          <w:sz w:val="32"/>
          <w:lang w:val="en-US" w:eastAsia="zh-CN"/>
        </w:rPr>
      </w:pPr>
      <w:r>
        <w:rPr>
          <w:rFonts w:hint="default" w:eastAsia="仿宋" w:asciiTheme="minorAscii" w:hAnsiTheme="minorAscii"/>
          <w:b/>
          <w:bCs/>
          <w:sz w:val="32"/>
          <w:lang w:val="en-US" w:eastAsia="zh-CN"/>
        </w:rPr>
        <w:t>3.产出成本</w:t>
      </w:r>
    </w:p>
    <w:p w14:paraId="13ECB4D8">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default" w:eastAsia="仿宋" w:asciiTheme="minorAscii" w:hAnsiTheme="minorAscii"/>
          <w:sz w:val="32"/>
          <w:lang w:val="en-US" w:eastAsia="zh-CN"/>
        </w:rPr>
      </w:pPr>
      <w:r>
        <w:rPr>
          <w:rFonts w:hint="default" w:eastAsia="仿宋" w:asciiTheme="minorAscii" w:hAnsiTheme="minorAscii"/>
          <w:sz w:val="32"/>
        </w:rPr>
        <w:t>成本节约率：项目计划成本为</w:t>
      </w:r>
      <w:r>
        <w:rPr>
          <w:rFonts w:hint="default" w:eastAsia="仿宋" w:asciiTheme="minorAscii" w:hAnsiTheme="minorAscii"/>
          <w:sz w:val="32"/>
          <w:lang w:val="en-US" w:eastAsia="zh-CN"/>
        </w:rPr>
        <w:t>1430</w:t>
      </w:r>
      <w:r>
        <w:rPr>
          <w:rFonts w:hint="default" w:eastAsia="仿宋" w:asciiTheme="minorAscii" w:hAnsiTheme="minorAscii"/>
          <w:sz w:val="32"/>
        </w:rPr>
        <w:t>万元，实际成本</w:t>
      </w:r>
      <w:r>
        <w:rPr>
          <w:rFonts w:hint="default" w:eastAsia="仿宋" w:asciiTheme="minorAscii" w:hAnsiTheme="minorAscii"/>
          <w:sz w:val="32"/>
          <w:lang w:val="en-US" w:eastAsia="zh-CN"/>
        </w:rPr>
        <w:t>1212.87</w:t>
      </w:r>
      <w:r>
        <w:rPr>
          <w:rFonts w:hint="default" w:eastAsia="仿宋" w:asciiTheme="minorAscii" w:hAnsiTheme="minorAscii"/>
          <w:sz w:val="32"/>
        </w:rPr>
        <w:t>万元，成本节约率</w:t>
      </w:r>
      <w:r>
        <w:rPr>
          <w:rFonts w:hint="default" w:eastAsia="仿宋" w:asciiTheme="minorAscii" w:hAnsiTheme="minorAscii"/>
          <w:sz w:val="32"/>
          <w:lang w:val="en-US" w:eastAsia="zh-CN"/>
        </w:rPr>
        <w:t>85%</w:t>
      </w:r>
    </w:p>
    <w:p w14:paraId="19631ECE">
      <w:pPr>
        <w:keepNext w:val="0"/>
        <w:keepLines w:val="0"/>
        <w:pageBreakBefore w:val="0"/>
        <w:widowControl w:val="0"/>
        <w:kinsoku/>
        <w:wordWrap/>
        <w:overflowPunct/>
        <w:topLinePunct w:val="0"/>
        <w:autoSpaceDE/>
        <w:autoSpaceDN/>
        <w:bidi w:val="0"/>
        <w:adjustRightInd/>
        <w:snapToGrid/>
        <w:ind w:firstLine="643" w:firstLineChars="200"/>
        <w:textAlignment w:val="auto"/>
        <w:rPr>
          <w:rFonts w:hint="default" w:eastAsia="楷体" w:asciiTheme="minorAscii" w:hAnsiTheme="minorAscii"/>
          <w:b/>
          <w:bCs/>
          <w:sz w:val="32"/>
        </w:rPr>
      </w:pPr>
      <w:r>
        <w:rPr>
          <w:rFonts w:hint="default" w:eastAsia="楷体" w:asciiTheme="minorAscii" w:hAnsiTheme="minorAscii"/>
          <w:b/>
          <w:bCs/>
          <w:sz w:val="32"/>
        </w:rPr>
        <w:t>（四）项目效益情况分析</w:t>
      </w:r>
    </w:p>
    <w:p w14:paraId="2F2CAEE5">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default" w:eastAsia="仿宋" w:asciiTheme="minorAscii" w:hAnsiTheme="minorAscii"/>
          <w:sz w:val="32"/>
        </w:rPr>
      </w:pPr>
      <w:r>
        <w:rPr>
          <w:rFonts w:hint="default" w:eastAsia="仿宋" w:asciiTheme="minorAscii" w:hAnsiTheme="minorAscii"/>
          <w:sz w:val="32"/>
        </w:rPr>
        <w:t>通过</w:t>
      </w:r>
      <w:r>
        <w:rPr>
          <w:rFonts w:hint="default" w:eastAsia="仿宋" w:asciiTheme="minorAscii" w:hAnsiTheme="minorAscii"/>
          <w:sz w:val="32"/>
          <w:lang w:val="en-US" w:eastAsia="zh-CN"/>
        </w:rPr>
        <w:t>财政拨项</w:t>
      </w:r>
      <w:r>
        <w:rPr>
          <w:rFonts w:hint="default" w:eastAsia="仿宋" w:asciiTheme="minorAscii" w:hAnsiTheme="minorAscii"/>
          <w:sz w:val="32"/>
        </w:rPr>
        <w:t>项目的实施，保障了</w:t>
      </w:r>
      <w:r>
        <w:rPr>
          <w:rFonts w:hint="default" w:eastAsia="仿宋" w:asciiTheme="minorAscii" w:hAnsiTheme="minorAscii"/>
          <w:sz w:val="32"/>
          <w:lang w:val="en-US" w:eastAsia="zh-CN"/>
        </w:rPr>
        <w:t>镇政府行政运行，社会事务的完善，地方经济发展</w:t>
      </w:r>
    </w:p>
    <w:p w14:paraId="7AB73E4B">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default" w:eastAsia="黑体" w:asciiTheme="minorAscii" w:hAnsiTheme="minorAscii"/>
          <w:sz w:val="32"/>
          <w:lang w:val="en-US" w:eastAsia="zh-CN"/>
        </w:rPr>
      </w:pPr>
      <w:r>
        <w:rPr>
          <w:rFonts w:hint="default" w:eastAsia="黑体" w:asciiTheme="minorAscii" w:hAnsiTheme="minorAscii"/>
          <w:sz w:val="32"/>
          <w:lang w:val="en-US" w:eastAsia="zh-CN"/>
        </w:rPr>
        <w:t>五、主要经验及做法</w:t>
      </w:r>
    </w:p>
    <w:p w14:paraId="06F4552D">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default" w:eastAsia="仿宋" w:asciiTheme="minorAscii" w:hAnsiTheme="minorAscii"/>
          <w:sz w:val="32"/>
        </w:rPr>
      </w:pPr>
      <w:r>
        <w:rPr>
          <w:rFonts w:hint="default" w:eastAsia="仿宋" w:asciiTheme="minorAscii" w:hAnsiTheme="minorAscii"/>
          <w:sz w:val="32"/>
        </w:rPr>
        <w:t>（一）按照中央、省、州、县有关绩效管理的文件要求，建立健全绩效管理机制，并依此开展相关工作。</w:t>
      </w:r>
    </w:p>
    <w:p w14:paraId="17ED4DC5">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default" w:eastAsia="仿宋" w:asciiTheme="minorAscii" w:hAnsiTheme="minorAscii"/>
          <w:sz w:val="32"/>
        </w:rPr>
      </w:pPr>
      <w:r>
        <w:rPr>
          <w:rFonts w:hint="default" w:eastAsia="仿宋" w:asciiTheme="minorAscii" w:hAnsiTheme="minorAscii"/>
          <w:sz w:val="32"/>
        </w:rPr>
        <w:t>（二）规范项目前期工作，加强项目实施过程监督。在前期立项时，及时总结上一年度实施经验，优化调整指标体系，最大程度量化、细化各项指标，明确各项指标的责任科室；在项目实施过程中加强对责任科室的监督，及时发现问题及时进行整改，保证各项目指标按时完成，实现财政资金效益最大化。</w:t>
      </w:r>
    </w:p>
    <w:p w14:paraId="7B400F3F">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default" w:eastAsia="黑体" w:asciiTheme="minorAscii" w:hAnsiTheme="minorAscii"/>
          <w:sz w:val="32"/>
          <w:lang w:val="en-US" w:eastAsia="zh-CN"/>
        </w:rPr>
      </w:pPr>
      <w:r>
        <w:rPr>
          <w:rFonts w:hint="default" w:eastAsia="黑体" w:asciiTheme="minorAscii" w:hAnsiTheme="minorAscii"/>
          <w:sz w:val="32"/>
          <w:lang w:val="en-US" w:eastAsia="zh-CN"/>
        </w:rPr>
        <w:t>六、存在的问题及原因分析</w:t>
      </w:r>
    </w:p>
    <w:p w14:paraId="12F6CE69">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default" w:eastAsia="仿宋" w:asciiTheme="minorAscii" w:hAnsiTheme="minorAscii"/>
          <w:sz w:val="32"/>
        </w:rPr>
      </w:pPr>
      <w:r>
        <w:rPr>
          <w:rFonts w:hint="default" w:eastAsia="仿宋" w:asciiTheme="minorAscii" w:hAnsiTheme="minorAscii"/>
          <w:sz w:val="32"/>
        </w:rPr>
        <w:t>（</w:t>
      </w:r>
      <w:r>
        <w:rPr>
          <w:rFonts w:hint="default" w:eastAsia="仿宋" w:asciiTheme="minorAscii" w:hAnsiTheme="minorAscii"/>
          <w:sz w:val="32"/>
          <w:lang w:val="en-US" w:eastAsia="zh-CN"/>
        </w:rPr>
        <w:t>一</w:t>
      </w:r>
      <w:r>
        <w:rPr>
          <w:rFonts w:hint="default" w:eastAsia="仿宋" w:asciiTheme="minorAscii" w:hAnsiTheme="minorAscii"/>
          <w:sz w:val="32"/>
        </w:rPr>
        <w:t>）部分项目指标设定不规范。</w:t>
      </w:r>
    </w:p>
    <w:p w14:paraId="20C38316">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default" w:eastAsia="仿宋" w:asciiTheme="minorAscii" w:hAnsiTheme="minorAscii"/>
          <w:sz w:val="32"/>
        </w:rPr>
      </w:pPr>
      <w:r>
        <w:rPr>
          <w:rFonts w:hint="default" w:eastAsia="仿宋" w:asciiTheme="minorAscii" w:hAnsiTheme="minorAscii"/>
          <w:sz w:val="32"/>
        </w:rPr>
        <w:t>（二）项目档案管理不规范。未指定专人负责项目档案专门管理，部分项目档案资料不完整、不齐全，部分项目档案资料未整理归档。</w:t>
      </w:r>
    </w:p>
    <w:p w14:paraId="222B1952">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default" w:eastAsia="黑体" w:asciiTheme="minorAscii" w:hAnsiTheme="minorAscii"/>
          <w:sz w:val="32"/>
          <w:lang w:val="en-US" w:eastAsia="zh-CN"/>
        </w:rPr>
      </w:pPr>
      <w:r>
        <w:rPr>
          <w:rFonts w:hint="eastAsia" w:eastAsia="黑体" w:asciiTheme="minorAscii" w:hAnsiTheme="minorAscii"/>
          <w:sz w:val="32"/>
          <w:lang w:val="en-US" w:eastAsia="zh-CN"/>
        </w:rPr>
        <w:t>七、</w:t>
      </w:r>
      <w:r>
        <w:rPr>
          <w:rFonts w:hint="default" w:eastAsia="黑体" w:asciiTheme="minorAscii" w:hAnsiTheme="minorAscii"/>
          <w:sz w:val="32"/>
          <w:lang w:val="en-US" w:eastAsia="zh-CN"/>
        </w:rPr>
        <w:t>有关建议</w:t>
      </w:r>
    </w:p>
    <w:p w14:paraId="58871416">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default" w:eastAsia="仿宋" w:asciiTheme="minorAscii" w:hAnsiTheme="minorAscii"/>
          <w:sz w:val="32"/>
        </w:rPr>
      </w:pPr>
      <w:r>
        <w:rPr>
          <w:rFonts w:hint="default" w:eastAsia="仿宋" w:asciiTheme="minorAscii" w:hAnsiTheme="minorAscii"/>
          <w:sz w:val="32"/>
        </w:rPr>
        <w:t>（一）加强项目管理，进一步明确、细化责任分工，制定项目完成时间表，促进各项工作按时完成。</w:t>
      </w:r>
    </w:p>
    <w:p w14:paraId="540B1762">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default" w:eastAsia="仿宋" w:asciiTheme="minorAscii" w:hAnsiTheme="minorAscii"/>
          <w:sz w:val="32"/>
        </w:rPr>
      </w:pPr>
      <w:r>
        <w:rPr>
          <w:rFonts w:hint="default" w:eastAsia="仿宋" w:asciiTheme="minorAscii" w:hAnsiTheme="minorAscii"/>
          <w:sz w:val="32"/>
        </w:rPr>
        <w:t>（二）进一步加强绩效目标管理，对绩效目标申报表和绩效目标自评表进行核查，如属错报进行更正；在今后的工作中进一步加强绩效目标管理，以保证目标申报表和目标自评表的一致性。</w:t>
      </w:r>
    </w:p>
    <w:p w14:paraId="07474C4E">
      <w:pPr>
        <w:keepNext w:val="0"/>
        <w:keepLines w:val="0"/>
        <w:pageBreakBefore w:val="0"/>
        <w:widowControl w:val="0"/>
        <w:kinsoku/>
        <w:wordWrap/>
        <w:overflowPunct/>
        <w:topLinePunct w:val="0"/>
        <w:autoSpaceDE/>
        <w:autoSpaceDN/>
        <w:bidi w:val="0"/>
        <w:adjustRightInd/>
        <w:snapToGrid/>
        <w:textAlignment w:val="auto"/>
        <w:rPr>
          <w:rFonts w:hint="eastAsia" w:ascii="黑体" w:hAnsi="黑体" w:eastAsia="黑体" w:cs="黑体"/>
          <w:lang w:val="en-US" w:eastAsia="zh-CN"/>
        </w:rPr>
      </w:pPr>
    </w:p>
    <w:p w14:paraId="3A49AF81">
      <w:pPr>
        <w:bidi w:val="0"/>
        <w:rPr>
          <w:rFonts w:hint="default"/>
          <w:lang w:val="en-US" w:eastAsia="zh-CN"/>
        </w:rPr>
      </w:pPr>
    </w:p>
    <w:sectPr>
      <w:footerReference r:id="rId3" w:type="default"/>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8"/>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AFAC9A06-AB91-4F62-A0F2-A6D1300E71C1}"/>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A95F41BE-0E2D-47A1-855E-575769ECA1D1}"/>
  </w:font>
  <w:font w:name="仿宋">
    <w:panose1 w:val="02010609060101010101"/>
    <w:charset w:val="86"/>
    <w:family w:val="auto"/>
    <w:pitch w:val="default"/>
    <w:sig w:usb0="800002BF" w:usb1="38CF7CFA" w:usb2="00000016" w:usb3="00000000" w:csb0="00040001" w:csb1="00000000"/>
    <w:embedRegular r:id="rId3" w:fontKey="{58473E0B-C277-4BF1-8EE4-5CBFE4B8DDF4}"/>
  </w:font>
  <w:font w:name="仿宋_GB2312">
    <w:panose1 w:val="02010609030101010101"/>
    <w:charset w:val="86"/>
    <w:family w:val="auto"/>
    <w:pitch w:val="default"/>
    <w:sig w:usb0="00000001" w:usb1="080E0000" w:usb2="00000000" w:usb3="00000000" w:csb0="00040000" w:csb1="00000000"/>
    <w:embedRegular r:id="rId4" w:fontKey="{BFBEFC69-7BEE-44B7-B0C2-01F21AD12E54}"/>
  </w:font>
  <w:font w:name="方正小标宋_GBK">
    <w:panose1 w:val="03000509000000000000"/>
    <w:charset w:val="86"/>
    <w:family w:val="auto"/>
    <w:pitch w:val="default"/>
    <w:sig w:usb0="00000001" w:usb1="080E0000" w:usb2="00000000" w:usb3="00000000" w:csb0="00040000" w:csb1="00000000"/>
    <w:embedRegular r:id="rId5" w:fontKey="{29D80C0F-2EBB-4503-93F2-EFB207DF5D63}"/>
  </w:font>
  <w:font w:name="楷体_GB2312">
    <w:panose1 w:val="02010609030101010101"/>
    <w:charset w:val="86"/>
    <w:family w:val="modern"/>
    <w:pitch w:val="default"/>
    <w:sig w:usb0="00000001" w:usb1="080E0000" w:usb2="00000000" w:usb3="00000000" w:csb0="00040000" w:csb1="00000000"/>
    <w:embedRegular r:id="rId6" w:fontKey="{38F69C56-1507-4F60-B586-723EAD378E81}"/>
  </w:font>
  <w:font w:name="？？">
    <w:altName w:val="宋体"/>
    <w:panose1 w:val="00000000000000000000"/>
    <w:charset w:val="86"/>
    <w:family w:val="roman"/>
    <w:pitch w:val="default"/>
    <w:sig w:usb0="00000000" w:usb1="00000000" w:usb2="00000010" w:usb3="00000000" w:csb0="00040000" w:csb1="00000000"/>
    <w:embedRegular r:id="rId7" w:fontKey="{CBED87A6-7A65-422A-973F-53C6617ECB11}"/>
  </w:font>
  <w:font w:name="华文仿宋">
    <w:panose1 w:val="02010600040101010101"/>
    <w:charset w:val="86"/>
    <w:family w:val="auto"/>
    <w:pitch w:val="default"/>
    <w:sig w:usb0="00000287" w:usb1="080F0000" w:usb2="00000000" w:usb3="00000000" w:csb0="0004009F" w:csb1="DFD70000"/>
    <w:embedRegular r:id="rId8" w:fontKey="{8D9C2FD5-4D5F-4760-94EA-31CEDAD8AE35}"/>
  </w:font>
  <w:font w:name="方正楷体_GB2312">
    <w:panose1 w:val="02000000000000000000"/>
    <w:charset w:val="86"/>
    <w:family w:val="auto"/>
    <w:pitch w:val="default"/>
    <w:sig w:usb0="A00002BF" w:usb1="184F6CFA" w:usb2="00000012" w:usb3="00000000" w:csb0="00040001" w:csb1="00000000"/>
    <w:embedRegular r:id="rId9" w:fontKey="{F190AA7D-82D0-409A-90AF-58565E34A9A0}"/>
  </w:font>
  <w:font w:name="楷体">
    <w:panose1 w:val="02010609060101010101"/>
    <w:charset w:val="86"/>
    <w:family w:val="auto"/>
    <w:pitch w:val="default"/>
    <w:sig w:usb0="800002BF" w:usb1="38CF7CFA" w:usb2="00000016" w:usb3="00000000" w:csb0="00040001" w:csb1="00000000"/>
    <w:embedRegular r:id="rId10" w:fontKey="{2E1E856F-3A5D-4E09-A35E-9E4F4170AF3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A237EB">
    <w:pPr>
      <w:pStyle w:val="3"/>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D586B8D">
                          <w:pPr>
                            <w:pStyle w:val="3"/>
                            <w:rPr>
                              <w:rFonts w:hint="eastAsia" w:eastAsia="仿宋_GB2312"/>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wrap="none" lIns="0" tIns="0" rIns="0" bIns="0" upright="0">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932AAMoBAACdAwAADgAAAAAAAAABACAAAAAeAQAAZHJzL2Uyb0Rv&#10;Yy54bWxQSwUGAAAAAAYABgBZAQAAWgUAAAAA&#10;">
              <v:fill on="f" focussize="0,0"/>
              <v:stroke on="f"/>
              <v:imagedata o:title=""/>
              <o:lock v:ext="edit" aspectratio="f"/>
              <v:textbox inset="0mm,0mm,0mm,0mm" style="mso-fit-shape-to-text:t;">
                <w:txbxContent>
                  <w:p w14:paraId="3D586B8D">
                    <w:pPr>
                      <w:pStyle w:val="3"/>
                      <w:rPr>
                        <w:rFonts w:hint="eastAsia" w:eastAsia="仿宋_GB2312"/>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8B8C44B"/>
    <w:multiLevelType w:val="singleLevel"/>
    <w:tmpl w:val="68B8C44B"/>
    <w:lvl w:ilvl="0" w:tentative="0">
      <w:start w:val="2"/>
      <w:numFmt w:val="chineseCounting"/>
      <w:suff w:val="nothing"/>
      <w:lvlText w:val="%1、"/>
      <w:lvlJc w:val="left"/>
      <w:rPr>
        <w:rFonts w:hint="eastAsia"/>
      </w:rPr>
    </w:lvl>
  </w:abstractNum>
  <w:abstractNum w:abstractNumId="1">
    <w:nsid w:val="7932C0A0"/>
    <w:multiLevelType w:val="singleLevel"/>
    <w:tmpl w:val="7932C0A0"/>
    <w:lvl w:ilvl="0" w:tentative="0">
      <w:start w:val="1"/>
      <w:numFmt w:val="decimal"/>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hyphenationZone w:val="360"/>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g2NzEyMjdiMjI4MzUzZTE3ODRlODZlYWE0YmRmMDQifQ=="/>
  </w:docVars>
  <w:rsids>
    <w:rsidRoot w:val="00172A27"/>
    <w:rsid w:val="00050A14"/>
    <w:rsid w:val="013E7AC7"/>
    <w:rsid w:val="01BE2D5A"/>
    <w:rsid w:val="029861A7"/>
    <w:rsid w:val="02A34C5F"/>
    <w:rsid w:val="03201C98"/>
    <w:rsid w:val="05A361EF"/>
    <w:rsid w:val="05C123A9"/>
    <w:rsid w:val="0603185D"/>
    <w:rsid w:val="066F0480"/>
    <w:rsid w:val="069C1222"/>
    <w:rsid w:val="06BF334B"/>
    <w:rsid w:val="06EA398A"/>
    <w:rsid w:val="07500C2E"/>
    <w:rsid w:val="07C42015"/>
    <w:rsid w:val="08BB4CF2"/>
    <w:rsid w:val="08BF7782"/>
    <w:rsid w:val="0A30541D"/>
    <w:rsid w:val="0A582FDC"/>
    <w:rsid w:val="0CE958BA"/>
    <w:rsid w:val="0D2838E8"/>
    <w:rsid w:val="0DD30C2C"/>
    <w:rsid w:val="0F155897"/>
    <w:rsid w:val="0F5E69F1"/>
    <w:rsid w:val="0F782054"/>
    <w:rsid w:val="0FE232D7"/>
    <w:rsid w:val="103E70D0"/>
    <w:rsid w:val="10644984"/>
    <w:rsid w:val="106C7341"/>
    <w:rsid w:val="107226B0"/>
    <w:rsid w:val="10ED7ECB"/>
    <w:rsid w:val="11E06FA9"/>
    <w:rsid w:val="12172533"/>
    <w:rsid w:val="12E80C4A"/>
    <w:rsid w:val="13675281"/>
    <w:rsid w:val="13A721FF"/>
    <w:rsid w:val="13DB4F89"/>
    <w:rsid w:val="14557466"/>
    <w:rsid w:val="14AC6C95"/>
    <w:rsid w:val="151C034B"/>
    <w:rsid w:val="175306B7"/>
    <w:rsid w:val="17B24FAF"/>
    <w:rsid w:val="17DF5EC9"/>
    <w:rsid w:val="1980363C"/>
    <w:rsid w:val="19823B1B"/>
    <w:rsid w:val="1AAE67BE"/>
    <w:rsid w:val="1ABE6FE3"/>
    <w:rsid w:val="1AD05FDE"/>
    <w:rsid w:val="1CC27AD1"/>
    <w:rsid w:val="1D7C428F"/>
    <w:rsid w:val="1D9C0305"/>
    <w:rsid w:val="1F085EE0"/>
    <w:rsid w:val="1FB95752"/>
    <w:rsid w:val="20500115"/>
    <w:rsid w:val="210C177B"/>
    <w:rsid w:val="21A86C72"/>
    <w:rsid w:val="21F62F01"/>
    <w:rsid w:val="23933B89"/>
    <w:rsid w:val="24317D36"/>
    <w:rsid w:val="25E40F1B"/>
    <w:rsid w:val="290902F6"/>
    <w:rsid w:val="2ABC5374"/>
    <w:rsid w:val="2B146097"/>
    <w:rsid w:val="2B157704"/>
    <w:rsid w:val="2B1C41B0"/>
    <w:rsid w:val="2B585B55"/>
    <w:rsid w:val="2C543195"/>
    <w:rsid w:val="2D96648B"/>
    <w:rsid w:val="2F052A80"/>
    <w:rsid w:val="3069714B"/>
    <w:rsid w:val="30B11BE5"/>
    <w:rsid w:val="31072E65"/>
    <w:rsid w:val="317821EF"/>
    <w:rsid w:val="31902C3E"/>
    <w:rsid w:val="324D79F5"/>
    <w:rsid w:val="32683364"/>
    <w:rsid w:val="33A066C8"/>
    <w:rsid w:val="341328FE"/>
    <w:rsid w:val="342815E4"/>
    <w:rsid w:val="342D35A2"/>
    <w:rsid w:val="34FA10B9"/>
    <w:rsid w:val="364A12E8"/>
    <w:rsid w:val="36C06BEC"/>
    <w:rsid w:val="37054B8B"/>
    <w:rsid w:val="37122B90"/>
    <w:rsid w:val="37CB2439"/>
    <w:rsid w:val="386A515B"/>
    <w:rsid w:val="38E677D5"/>
    <w:rsid w:val="391F30E3"/>
    <w:rsid w:val="39D57AEA"/>
    <w:rsid w:val="39E73ADD"/>
    <w:rsid w:val="3A96743D"/>
    <w:rsid w:val="3B2E0A9A"/>
    <w:rsid w:val="3C300DB8"/>
    <w:rsid w:val="3CCC762D"/>
    <w:rsid w:val="3E1875F9"/>
    <w:rsid w:val="3F134852"/>
    <w:rsid w:val="3FA93C5C"/>
    <w:rsid w:val="3FD85D09"/>
    <w:rsid w:val="40117033"/>
    <w:rsid w:val="402C37E7"/>
    <w:rsid w:val="40557BBD"/>
    <w:rsid w:val="40E575B6"/>
    <w:rsid w:val="413C60EE"/>
    <w:rsid w:val="415E5FF2"/>
    <w:rsid w:val="41912E59"/>
    <w:rsid w:val="42C7362B"/>
    <w:rsid w:val="467B616A"/>
    <w:rsid w:val="47DA38F3"/>
    <w:rsid w:val="48BA31C1"/>
    <w:rsid w:val="4A075347"/>
    <w:rsid w:val="4A273CC0"/>
    <w:rsid w:val="4A7455D7"/>
    <w:rsid w:val="4A831624"/>
    <w:rsid w:val="4AA549ED"/>
    <w:rsid w:val="4C6F174F"/>
    <w:rsid w:val="4CF76003"/>
    <w:rsid w:val="4D5519AB"/>
    <w:rsid w:val="4D830708"/>
    <w:rsid w:val="4DF80089"/>
    <w:rsid w:val="4F3B42FB"/>
    <w:rsid w:val="501C4516"/>
    <w:rsid w:val="505C103B"/>
    <w:rsid w:val="50874A7C"/>
    <w:rsid w:val="51EF4924"/>
    <w:rsid w:val="5219152A"/>
    <w:rsid w:val="52A707CD"/>
    <w:rsid w:val="53DC50DF"/>
    <w:rsid w:val="54155AC4"/>
    <w:rsid w:val="54162067"/>
    <w:rsid w:val="544D0F4F"/>
    <w:rsid w:val="5475139F"/>
    <w:rsid w:val="55A07CB5"/>
    <w:rsid w:val="569D3A25"/>
    <w:rsid w:val="56B20826"/>
    <w:rsid w:val="593542E4"/>
    <w:rsid w:val="59E6188F"/>
    <w:rsid w:val="5AD83789"/>
    <w:rsid w:val="5B726329"/>
    <w:rsid w:val="5BD443CE"/>
    <w:rsid w:val="5D14783E"/>
    <w:rsid w:val="5D301AE5"/>
    <w:rsid w:val="5D334270"/>
    <w:rsid w:val="5D486349"/>
    <w:rsid w:val="5DCA70C9"/>
    <w:rsid w:val="5DF87710"/>
    <w:rsid w:val="5EF63DB3"/>
    <w:rsid w:val="5F4014D0"/>
    <w:rsid w:val="5F75718C"/>
    <w:rsid w:val="61980F92"/>
    <w:rsid w:val="627B0ECC"/>
    <w:rsid w:val="64510316"/>
    <w:rsid w:val="645706A8"/>
    <w:rsid w:val="649B2F7D"/>
    <w:rsid w:val="64E32140"/>
    <w:rsid w:val="653448B6"/>
    <w:rsid w:val="65547BFE"/>
    <w:rsid w:val="65E968A5"/>
    <w:rsid w:val="661C0CF6"/>
    <w:rsid w:val="662D0574"/>
    <w:rsid w:val="66826A61"/>
    <w:rsid w:val="66A948C2"/>
    <w:rsid w:val="69880225"/>
    <w:rsid w:val="69AD32FC"/>
    <w:rsid w:val="69C80956"/>
    <w:rsid w:val="6A5A093E"/>
    <w:rsid w:val="6C230E1D"/>
    <w:rsid w:val="6C5076BD"/>
    <w:rsid w:val="6CC142A2"/>
    <w:rsid w:val="6CF22418"/>
    <w:rsid w:val="6D396136"/>
    <w:rsid w:val="6D8A46AE"/>
    <w:rsid w:val="6DCA1178"/>
    <w:rsid w:val="6EA00679"/>
    <w:rsid w:val="70170310"/>
    <w:rsid w:val="710B2708"/>
    <w:rsid w:val="72E36D0B"/>
    <w:rsid w:val="73972FFE"/>
    <w:rsid w:val="74056784"/>
    <w:rsid w:val="74823C8D"/>
    <w:rsid w:val="76DC4D6B"/>
    <w:rsid w:val="76E81511"/>
    <w:rsid w:val="77E963DD"/>
    <w:rsid w:val="78675726"/>
    <w:rsid w:val="795379F2"/>
    <w:rsid w:val="797353EC"/>
    <w:rsid w:val="79CB112D"/>
    <w:rsid w:val="79CE57A9"/>
    <w:rsid w:val="7BAA698E"/>
    <w:rsid w:val="7BE063D3"/>
    <w:rsid w:val="7C94315B"/>
    <w:rsid w:val="7CD46C1D"/>
    <w:rsid w:val="7F737DF6"/>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qFormat="1"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仿宋_GB2312" w:cs="Times New Roman"/>
      <w:kern w:val="2"/>
      <w:sz w:val="32"/>
      <w:szCs w:val="22"/>
      <w:lang w:val="en-US" w:eastAsia="zh-CN" w:bidi="ar-SA"/>
    </w:rPr>
  </w:style>
  <w:style w:type="character" w:default="1" w:styleId="8">
    <w:name w:val="Default Paragraph Font"/>
    <w:semiHidden/>
    <w:qFormat/>
    <w:uiPriority w:val="0"/>
  </w:style>
  <w:style w:type="table" w:default="1" w:styleId="7">
    <w:name w:val="Normal Table"/>
    <w:semiHidden/>
    <w:qFormat/>
    <w:uiPriority w:val="0"/>
    <w:tblPr>
      <w:tblCellMar>
        <w:top w:w="0" w:type="dxa"/>
        <w:left w:w="108" w:type="dxa"/>
        <w:bottom w:w="0" w:type="dxa"/>
        <w:right w:w="108" w:type="dxa"/>
      </w:tblCellMar>
    </w:tblPr>
  </w:style>
  <w:style w:type="paragraph" w:styleId="2">
    <w:name w:val="Body Text"/>
    <w:basedOn w:val="1"/>
    <w:qFormat/>
    <w:uiPriority w:val="1"/>
    <w:rPr>
      <w:sz w:val="32"/>
      <w:szCs w:val="32"/>
    </w:r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5">
    <w:name w:val="footnote text"/>
    <w:basedOn w:val="1"/>
    <w:next w:val="1"/>
    <w:qFormat/>
    <w:uiPriority w:val="0"/>
    <w:pPr>
      <w:snapToGrid w:val="0"/>
      <w:jc w:val="left"/>
    </w:pPr>
    <w:rPr>
      <w:sz w:val="32"/>
    </w:rPr>
  </w:style>
  <w:style w:type="paragraph" w:styleId="6">
    <w:name w:val="Normal (Web)"/>
    <w:basedOn w:val="1"/>
    <w:qFormat/>
    <w:uiPriority w:val="0"/>
    <w:pPr>
      <w:spacing w:before="0" w:beforeAutospacing="1" w:after="0" w:afterAutospacing="1"/>
      <w:ind w:left="0" w:right="0"/>
      <w:jc w:val="left"/>
    </w:pPr>
    <w:rPr>
      <w:kern w:val="0"/>
      <w:sz w:val="24"/>
      <w:lang w:val="en-US" w:eastAsia="zh-CN" w:bidi="ar"/>
    </w:rPr>
  </w:style>
  <w:style w:type="character" w:styleId="9">
    <w:name w:val="Strong"/>
    <w:basedOn w:val="8"/>
    <w:qFormat/>
    <w:uiPriority w:val="0"/>
    <w:rPr>
      <w:b/>
    </w:rPr>
  </w:style>
  <w:style w:type="paragraph" w:customStyle="1" w:styleId="10">
    <w:name w:val="样式1"/>
    <w:basedOn w:val="1"/>
    <w:qFormat/>
    <w:uiPriority w:val="0"/>
  </w:style>
  <w:style w:type="paragraph" w:customStyle="1" w:styleId="11">
    <w:name w:val="正文缩进 + 首行缩进:  2 字符"/>
    <w:basedOn w:val="1"/>
    <w:qFormat/>
    <w:uiPriority w:val="0"/>
    <w:pPr>
      <w:spacing w:line="560" w:lineRule="exact"/>
      <w:ind w:firstLine="640"/>
    </w:pPr>
    <w:rPr>
      <w:rFonts w:ascii="仿宋" w:hAnsi="仿宋" w:eastAsia="仿宋" w:cs="宋体"/>
      <w:sz w:val="32"/>
      <w:szCs w:val="20"/>
    </w:rPr>
  </w:style>
  <w:style w:type="paragraph" w:customStyle="1" w:styleId="12">
    <w:name w:val="Default"/>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9.jpeg"/><Relationship Id="rId12" Type="http://schemas.openxmlformats.org/officeDocument/2006/relationships/image" Target="media/image8.png"/><Relationship Id="rId11" Type="http://schemas.openxmlformats.org/officeDocument/2006/relationships/image" Target="media/image7.jpeg"/><Relationship Id="rId10" Type="http://schemas.openxmlformats.org/officeDocument/2006/relationships/image" Target="media/image6.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Kingsoft</Company>
  <Pages>34</Pages>
  <Words>12058</Words>
  <Characters>12765</Characters>
  <Lines>0</Lines>
  <Paragraphs>0</Paragraphs>
  <TotalTime>46</TotalTime>
  <ScaleCrop>false</ScaleCrop>
  <LinksUpToDate>false</LinksUpToDate>
  <CharactersWithSpaces>13196</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谭丹妮</cp:lastModifiedBy>
  <cp:lastPrinted>2024-07-31T06:29:00Z</cp:lastPrinted>
  <dcterms:modified xsi:type="dcterms:W3CDTF">2025-02-26T07:41:02Z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E316C6572AD24B0B93C91541BFA8F320_13</vt:lpwstr>
  </property>
  <property fmtid="{D5CDD505-2E9C-101B-9397-08002B2CF9AE}" pid="4" name="KSOTemplateDocerSaveRecord">
    <vt:lpwstr>eyJoZGlkIjoiZWI0ODk0MmZlMGFiZDVkZjg1YTg3ZjZkNmRjZDEzN2UiLCJ1c2VySWQiOiI0NTkwNTUzMTMifQ==</vt:lpwstr>
  </property>
</Properties>
</file>