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60" w:lineRule="exact"/>
        <w:jc w:val="center"/>
        <w:rPr>
          <w:rFonts w:ascii="方正小标宋_GBK" w:hAnsi="方正小标宋_GBK" w:eastAsia="方正小标宋_GBK" w:cs="方正小标宋_GBK"/>
          <w:sz w:val="44"/>
          <w:szCs w:val="44"/>
          <w:lang w:val="en-US"/>
        </w:rPr>
      </w:pPr>
      <w:r>
        <w:rPr>
          <w:rFonts w:hint="eastAsia" w:ascii="方正小标宋_GBK" w:hAnsi="方正小标宋_GBK" w:eastAsia="方正小标宋_GBK" w:cs="方正小标宋_GBK"/>
          <w:sz w:val="44"/>
          <w:szCs w:val="44"/>
          <w:lang w:val="en-US"/>
        </w:rPr>
        <w:t>赤壁市乡镇集中式饮用水水源地</w:t>
      </w:r>
    </w:p>
    <w:p>
      <w:pPr>
        <w:pStyle w:val="22"/>
        <w:jc w:val="center"/>
        <w:rPr>
          <w:rFonts w:ascii="Times New Roman" w:hAnsi="Times New Roman"/>
          <w:b/>
          <w:bCs/>
          <w:color w:val="auto"/>
          <w:sz w:val="44"/>
          <w:szCs w:val="44"/>
        </w:rPr>
      </w:pPr>
      <w:bookmarkStart w:id="258" w:name="_GoBack"/>
      <w:r>
        <w:rPr>
          <w:rFonts w:hint="eastAsia" w:ascii="方正小标宋_GBK" w:hAnsi="方正小标宋_GBK" w:eastAsia="方正小标宋_GBK" w:cs="方正小标宋_GBK"/>
          <w:color w:val="auto"/>
          <w:sz w:val="44"/>
          <w:szCs w:val="44"/>
        </w:rPr>
        <w:t>突发环境事件应急预案</w:t>
      </w:r>
    </w:p>
    <w:bookmarkEnd w:id="258"/>
    <w:p>
      <w:pPr>
        <w:pStyle w:val="22"/>
        <w:jc w:val="right"/>
        <w:rPr>
          <w:rFonts w:ascii="Times New Roman" w:hAnsi="Times New Roman"/>
          <w:b/>
          <w:bCs/>
          <w:color w:val="auto"/>
        </w:rPr>
      </w:pPr>
    </w:p>
    <w:p>
      <w:pPr>
        <w:pStyle w:val="22"/>
        <w:rPr>
          <w:rFonts w:ascii="Times New Roman" w:hAnsi="Times New Roman"/>
          <w:b/>
          <w:bCs/>
          <w:color w:val="auto"/>
        </w:rPr>
      </w:pPr>
    </w:p>
    <w:sdt>
      <w:sdtPr>
        <w:rPr>
          <w:color w:val="000000"/>
          <w:sz w:val="21"/>
        </w:rPr>
        <w:id w:val="147469035"/>
        <w15:color w:val="DBDBDB"/>
        <w:docPartObj>
          <w:docPartGallery w:val="Table of Contents"/>
          <w:docPartUnique/>
        </w:docPartObj>
      </w:sdtPr>
      <w:sdtEndPr>
        <w:rPr>
          <w:rFonts w:ascii="Times New Roman" w:hAnsi="Times New Roman" w:eastAsia="黑体" w:cs="Times New Roman"/>
          <w:bCs/>
          <w:color w:val="auto"/>
          <w:sz w:val="24"/>
          <w:szCs w:val="36"/>
          <w:lang w:val="en-US" w:bidi="ar-SA"/>
        </w:rPr>
      </w:sdtEndPr>
      <w:sdtContent>
        <w:p>
          <w:pPr>
            <w:jc w:val="center"/>
            <w:rPr>
              <w:sz w:val="44"/>
              <w:szCs w:val="44"/>
            </w:rPr>
          </w:pPr>
          <w:r>
            <w:rPr>
              <w:sz w:val="44"/>
              <w:szCs w:val="44"/>
            </w:rPr>
            <w:t>目</w:t>
          </w:r>
          <w:r>
            <w:rPr>
              <w:rFonts w:hint="eastAsia"/>
              <w:sz w:val="44"/>
              <w:szCs w:val="44"/>
              <w:lang w:val="en-US"/>
            </w:rPr>
            <w:t xml:space="preserve">  </w:t>
          </w:r>
          <w:r>
            <w:rPr>
              <w:sz w:val="44"/>
              <w:szCs w:val="44"/>
            </w:rPr>
            <w:t>录</w:t>
          </w:r>
        </w:p>
        <w:p>
          <w:pPr>
            <w:pStyle w:val="11"/>
            <w:tabs>
              <w:tab w:val="right" w:leader="dot" w:pos="8296"/>
            </w:tabs>
            <w:spacing w:line="360" w:lineRule="auto"/>
            <w:rPr>
              <w:rFonts w:asciiTheme="minorEastAsia" w:hAnsiTheme="minorEastAsia" w:eastAsiaTheme="minorEastAsia" w:cstheme="minorBidi"/>
              <w:b w:val="0"/>
              <w:bCs w:val="0"/>
              <w:kern w:val="2"/>
              <w:lang w:val="en-US" w:bidi="ar-SA"/>
            </w:rPr>
          </w:pPr>
          <w:r>
            <w:rPr>
              <w:rFonts w:asciiTheme="minorEastAsia" w:hAnsiTheme="minorEastAsia" w:eastAsiaTheme="minorEastAsia"/>
              <w:b w:val="0"/>
              <w:bCs w:val="0"/>
            </w:rPr>
            <w:fldChar w:fldCharType="begin"/>
          </w:r>
          <w:r>
            <w:rPr>
              <w:rFonts w:cs="Times New Roman" w:asciiTheme="minorEastAsia" w:hAnsiTheme="minorEastAsia" w:eastAsiaTheme="minorEastAsia"/>
              <w:b w:val="0"/>
              <w:lang w:val="en-US"/>
            </w:rPr>
            <w:instrText xml:space="preserve">TOC \o "1-3" \h \u </w:instrText>
          </w:r>
          <w:r>
            <w:rPr>
              <w:rFonts w:asciiTheme="minorEastAsia" w:hAnsiTheme="minorEastAsia" w:eastAsiaTheme="minorEastAsia"/>
              <w:b w:val="0"/>
              <w:bCs w:val="0"/>
            </w:rPr>
            <w:fldChar w:fldCharType="separate"/>
          </w:r>
          <w:r>
            <w:fldChar w:fldCharType="begin"/>
          </w:r>
          <w:r>
            <w:instrText xml:space="preserve"> HYPERLINK \l "_Toc72337708" </w:instrText>
          </w:r>
          <w:r>
            <w:fldChar w:fldCharType="separate"/>
          </w:r>
          <w:r>
            <w:rPr>
              <w:rStyle w:val="18"/>
              <w:rFonts w:asciiTheme="minorEastAsia" w:hAnsiTheme="minorEastAsia" w:eastAsiaTheme="minorEastAsia"/>
              <w:b w:val="0"/>
              <w:kern w:val="44"/>
              <w:lang w:val="en-US"/>
            </w:rPr>
            <w:t xml:space="preserve">1 </w:t>
          </w:r>
          <w:r>
            <w:rPr>
              <w:rStyle w:val="18"/>
              <w:rFonts w:cs="方正小标宋_GBK" w:asciiTheme="minorEastAsia" w:hAnsiTheme="minorEastAsia" w:eastAsiaTheme="minorEastAsia"/>
              <w:b w:val="0"/>
              <w:kern w:val="44"/>
              <w:lang w:val="en-US"/>
            </w:rPr>
            <w:t>总则</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_Toc72337708 \h </w:instrText>
          </w:r>
          <w:r>
            <w:rPr>
              <w:rFonts w:asciiTheme="minorEastAsia" w:hAnsiTheme="minorEastAsia" w:eastAsiaTheme="minorEastAsia"/>
              <w:b w:val="0"/>
            </w:rPr>
            <w:fldChar w:fldCharType="separate"/>
          </w:r>
          <w:r>
            <w:rPr>
              <w:rFonts w:asciiTheme="minorEastAsia" w:hAnsiTheme="minorEastAsia" w:eastAsiaTheme="minorEastAsia"/>
              <w:b w:val="0"/>
            </w:rPr>
            <w:t>- 5 -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"_Toc72337709" </w:instrText>
          </w:r>
          <w:r>
            <w:fldChar w:fldCharType="separate"/>
          </w:r>
          <w:r>
            <w:rPr>
              <w:rStyle w:val="18"/>
              <w:rFonts w:cs="黑体" w:asciiTheme="minorEastAsia" w:hAnsiTheme="minorEastAsia" w:eastAsiaTheme="minorEastAsia"/>
              <w:b w:val="0"/>
              <w:lang w:val="en-US"/>
            </w:rPr>
            <w:t>1.1 编制目的</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_Toc72337709 \h </w:instrText>
          </w:r>
          <w:r>
            <w:rPr>
              <w:rFonts w:asciiTheme="minorEastAsia" w:hAnsiTheme="minorEastAsia" w:eastAsiaTheme="minorEastAsia"/>
              <w:b w:val="0"/>
            </w:rPr>
            <w:fldChar w:fldCharType="separate"/>
          </w:r>
          <w:r>
            <w:rPr>
              <w:rFonts w:asciiTheme="minorEastAsia" w:hAnsiTheme="minorEastAsia" w:eastAsiaTheme="minorEastAsia"/>
              <w:b w:val="0"/>
            </w:rPr>
            <w:t>- 5 -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"_Toc72337710" </w:instrText>
          </w:r>
          <w:r>
            <w:fldChar w:fldCharType="separate"/>
          </w:r>
          <w:r>
            <w:rPr>
              <w:rStyle w:val="18"/>
              <w:rFonts w:cs="黑体" w:asciiTheme="minorEastAsia" w:hAnsiTheme="minorEastAsia" w:eastAsiaTheme="minorEastAsia"/>
              <w:b w:val="0"/>
              <w:lang w:val="en-US"/>
            </w:rPr>
            <w:t>1.2 编制依据</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_Toc72337710 \h </w:instrText>
          </w:r>
          <w:r>
            <w:rPr>
              <w:rFonts w:asciiTheme="minorEastAsia" w:hAnsiTheme="minorEastAsia" w:eastAsiaTheme="minorEastAsia"/>
              <w:b w:val="0"/>
            </w:rPr>
            <w:fldChar w:fldCharType="separate"/>
          </w:r>
          <w:r>
            <w:rPr>
              <w:rFonts w:asciiTheme="minorEastAsia" w:hAnsiTheme="minorEastAsia" w:eastAsiaTheme="minorEastAsia"/>
              <w:b w:val="0"/>
            </w:rPr>
            <w:t>- 5 -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"_Toc72337711" </w:instrText>
          </w:r>
          <w:r>
            <w:fldChar w:fldCharType="separate"/>
          </w:r>
          <w:r>
            <w:rPr>
              <w:rStyle w:val="18"/>
              <w:rFonts w:cs="黑体" w:asciiTheme="minorEastAsia" w:hAnsiTheme="minorEastAsia" w:eastAsiaTheme="minorEastAsia"/>
              <w:b w:val="0"/>
              <w:lang w:val="en-US"/>
            </w:rPr>
            <w:t>1.3 适用范围</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_Toc72337711 \h </w:instrText>
          </w:r>
          <w:r>
            <w:rPr>
              <w:rFonts w:asciiTheme="minorEastAsia" w:hAnsiTheme="minorEastAsia" w:eastAsiaTheme="minorEastAsia"/>
              <w:b w:val="0"/>
            </w:rPr>
            <w:fldChar w:fldCharType="separate"/>
          </w:r>
          <w:r>
            <w:rPr>
              <w:rFonts w:asciiTheme="minorEastAsia" w:hAnsiTheme="minorEastAsia" w:eastAsiaTheme="minorEastAsia"/>
              <w:b w:val="0"/>
            </w:rPr>
            <w:t>- 5 -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"_Toc72337712" </w:instrText>
          </w:r>
          <w:r>
            <w:fldChar w:fldCharType="separate"/>
          </w:r>
          <w:r>
            <w:rPr>
              <w:rStyle w:val="18"/>
              <w:rFonts w:cs="黑体" w:asciiTheme="minorEastAsia" w:hAnsiTheme="minorEastAsia" w:eastAsiaTheme="minorEastAsia"/>
              <w:b w:val="0"/>
              <w:lang w:val="en-US"/>
            </w:rPr>
            <w:t>1.4 预案衔接</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_Toc72337712 \h </w:instrText>
          </w:r>
          <w:r>
            <w:rPr>
              <w:rFonts w:asciiTheme="minorEastAsia" w:hAnsiTheme="minorEastAsia" w:eastAsiaTheme="minorEastAsia"/>
              <w:b w:val="0"/>
            </w:rPr>
            <w:fldChar w:fldCharType="separate"/>
          </w:r>
          <w:r>
            <w:rPr>
              <w:rFonts w:asciiTheme="minorEastAsia" w:hAnsiTheme="minorEastAsia" w:eastAsiaTheme="minorEastAsia"/>
              <w:b w:val="0"/>
            </w:rPr>
            <w:t>- 6 -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"_Toc72337713" </w:instrText>
          </w:r>
          <w:r>
            <w:fldChar w:fldCharType="separate"/>
          </w:r>
          <w:r>
            <w:rPr>
              <w:rStyle w:val="18"/>
              <w:rFonts w:cs="黑体" w:asciiTheme="minorEastAsia" w:hAnsiTheme="minorEastAsia" w:eastAsiaTheme="minorEastAsia"/>
              <w:b w:val="0"/>
              <w:lang w:val="en-US"/>
            </w:rPr>
            <w:t>1.5 工作原则</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_Toc72337713 \h </w:instrText>
          </w:r>
          <w:r>
            <w:rPr>
              <w:rFonts w:asciiTheme="minorEastAsia" w:hAnsiTheme="minorEastAsia" w:eastAsiaTheme="minorEastAsia"/>
              <w:b w:val="0"/>
            </w:rPr>
            <w:fldChar w:fldCharType="separate"/>
          </w:r>
          <w:r>
            <w:rPr>
              <w:rFonts w:asciiTheme="minorEastAsia" w:hAnsiTheme="minorEastAsia" w:eastAsiaTheme="minorEastAsia"/>
              <w:b w:val="0"/>
            </w:rPr>
            <w:t>- 7 -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1"/>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"_Toc72337714" </w:instrText>
          </w:r>
          <w:r>
            <w:fldChar w:fldCharType="separate"/>
          </w:r>
          <w:r>
            <w:rPr>
              <w:rStyle w:val="18"/>
              <w:rFonts w:cs="方正小标宋_GBK" w:asciiTheme="minorEastAsia" w:hAnsiTheme="minorEastAsia" w:eastAsiaTheme="minorEastAsia"/>
              <w:b w:val="0"/>
              <w:kern w:val="44"/>
              <w:lang w:val="en-US"/>
            </w:rPr>
            <w:t>2 应急组织指挥体系</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_Toc72337714 \h </w:instrText>
          </w:r>
          <w:r>
            <w:rPr>
              <w:rFonts w:asciiTheme="minorEastAsia" w:hAnsiTheme="minorEastAsia" w:eastAsiaTheme="minorEastAsia"/>
              <w:b w:val="0"/>
            </w:rPr>
            <w:fldChar w:fldCharType="separate"/>
          </w:r>
          <w:r>
            <w:rPr>
              <w:rFonts w:asciiTheme="minorEastAsia" w:hAnsiTheme="minorEastAsia" w:eastAsiaTheme="minorEastAsia"/>
              <w:b w:val="0"/>
            </w:rPr>
            <w:t>- 10 -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"_Toc72337715" </w:instrText>
          </w:r>
          <w:r>
            <w:fldChar w:fldCharType="separate"/>
          </w:r>
          <w:r>
            <w:rPr>
              <w:rStyle w:val="18"/>
              <w:rFonts w:cs="黑体" w:asciiTheme="minorEastAsia" w:hAnsiTheme="minorEastAsia" w:eastAsiaTheme="minorEastAsia"/>
              <w:b w:val="0"/>
              <w:lang w:val="en-US"/>
            </w:rPr>
            <w:t>2.1 应急组织指挥机构</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_Toc72337715 \h </w:instrText>
          </w:r>
          <w:r>
            <w:rPr>
              <w:rFonts w:asciiTheme="minorEastAsia" w:hAnsiTheme="minorEastAsia" w:eastAsiaTheme="minorEastAsia"/>
              <w:b w:val="0"/>
            </w:rPr>
            <w:fldChar w:fldCharType="separate"/>
          </w:r>
          <w:r>
            <w:rPr>
              <w:rFonts w:asciiTheme="minorEastAsia" w:hAnsiTheme="minorEastAsia" w:eastAsiaTheme="minorEastAsia"/>
              <w:b w:val="0"/>
            </w:rPr>
            <w:t>- 10 -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"_Toc72337716" </w:instrText>
          </w:r>
          <w:r>
            <w:fldChar w:fldCharType="separate"/>
          </w:r>
          <w:r>
            <w:rPr>
              <w:rStyle w:val="18"/>
              <w:rFonts w:cs="黑体" w:asciiTheme="minorEastAsia" w:hAnsiTheme="minorEastAsia" w:eastAsiaTheme="minorEastAsia"/>
              <w:b w:val="0"/>
              <w:lang w:val="en-US"/>
            </w:rPr>
            <w:t>2.2 现场应急指挥部</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_Toc72337716 \h </w:instrText>
          </w:r>
          <w:r>
            <w:rPr>
              <w:rFonts w:asciiTheme="minorEastAsia" w:hAnsiTheme="minorEastAsia" w:eastAsiaTheme="minorEastAsia"/>
              <w:b w:val="0"/>
            </w:rPr>
            <w:fldChar w:fldCharType="separate"/>
          </w:r>
          <w:r>
            <w:rPr>
              <w:rFonts w:asciiTheme="minorEastAsia" w:hAnsiTheme="minorEastAsia" w:eastAsiaTheme="minorEastAsia"/>
              <w:b w:val="0"/>
            </w:rPr>
            <w:t>- 13 -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"_Toc72337717" </w:instrText>
          </w:r>
          <w:r>
            <w:fldChar w:fldCharType="separate"/>
          </w:r>
          <w:r>
            <w:rPr>
              <w:rStyle w:val="18"/>
              <w:rFonts w:cs="黑体" w:asciiTheme="minorEastAsia" w:hAnsiTheme="minorEastAsia" w:eastAsiaTheme="minorEastAsia"/>
              <w:b w:val="0"/>
              <w:lang w:val="en-US"/>
            </w:rPr>
            <w:t>2.3 现场应急工作组</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_Toc72337717 \h </w:instrText>
          </w:r>
          <w:r>
            <w:rPr>
              <w:rFonts w:asciiTheme="minorEastAsia" w:hAnsiTheme="minorEastAsia" w:eastAsiaTheme="minorEastAsia"/>
              <w:b w:val="0"/>
            </w:rPr>
            <w:fldChar w:fldCharType="separate"/>
          </w:r>
          <w:r>
            <w:rPr>
              <w:rFonts w:asciiTheme="minorEastAsia" w:hAnsiTheme="minorEastAsia" w:eastAsiaTheme="minorEastAsia"/>
              <w:b w:val="0"/>
            </w:rPr>
            <w:t>- 14 -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1"/>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"_Toc72337718" </w:instrText>
          </w:r>
          <w:r>
            <w:fldChar w:fldCharType="separate"/>
          </w:r>
          <w:r>
            <w:rPr>
              <w:rStyle w:val="18"/>
              <w:rFonts w:cs="方正小标宋_GBK" w:asciiTheme="minorEastAsia" w:hAnsiTheme="minorEastAsia" w:eastAsiaTheme="minorEastAsia"/>
              <w:b w:val="0"/>
              <w:kern w:val="44"/>
              <w:lang w:val="en-US"/>
            </w:rPr>
            <w:t>3 应急响应</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_Toc72337718 \h </w:instrText>
          </w:r>
          <w:r>
            <w:rPr>
              <w:rFonts w:asciiTheme="minorEastAsia" w:hAnsiTheme="minorEastAsia" w:eastAsiaTheme="minorEastAsia"/>
              <w:b w:val="0"/>
            </w:rPr>
            <w:fldChar w:fldCharType="separate"/>
          </w:r>
          <w:r>
            <w:rPr>
              <w:rFonts w:asciiTheme="minorEastAsia" w:hAnsiTheme="minorEastAsia" w:eastAsiaTheme="minorEastAsia"/>
              <w:b w:val="0"/>
            </w:rPr>
            <w:t>- 17 -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"_Toc72337719" </w:instrText>
          </w:r>
          <w:r>
            <w:fldChar w:fldCharType="separate"/>
          </w:r>
          <w:r>
            <w:rPr>
              <w:rStyle w:val="18"/>
              <w:rFonts w:cs="黑体" w:asciiTheme="minorEastAsia" w:hAnsiTheme="minorEastAsia" w:eastAsiaTheme="minorEastAsia"/>
              <w:b w:val="0"/>
              <w:lang w:val="en-US"/>
            </w:rPr>
            <w:t>3.1 信息收集与研判</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_Toc72337719 \h </w:instrText>
          </w:r>
          <w:r>
            <w:rPr>
              <w:rFonts w:asciiTheme="minorEastAsia" w:hAnsiTheme="minorEastAsia" w:eastAsiaTheme="minorEastAsia"/>
              <w:b w:val="0"/>
            </w:rPr>
            <w:fldChar w:fldCharType="separate"/>
          </w:r>
          <w:r>
            <w:rPr>
              <w:rFonts w:asciiTheme="minorEastAsia" w:hAnsiTheme="minorEastAsia" w:eastAsiaTheme="minorEastAsia"/>
              <w:b w:val="0"/>
            </w:rPr>
            <w:t>- 17 -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"_Toc72337720" </w:instrText>
          </w:r>
          <w:r>
            <w:fldChar w:fldCharType="separate"/>
          </w:r>
          <w:r>
            <w:rPr>
              <w:rStyle w:val="18"/>
              <w:rFonts w:cs="黑体" w:asciiTheme="minorEastAsia" w:hAnsiTheme="minorEastAsia" w:eastAsiaTheme="minorEastAsia"/>
              <w:b w:val="0"/>
              <w:lang w:val="en-US"/>
            </w:rPr>
            <w:t>3.3.1 信息收集</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_Toc72337720 \h </w:instrText>
          </w:r>
          <w:r>
            <w:rPr>
              <w:rFonts w:asciiTheme="minorEastAsia" w:hAnsiTheme="minorEastAsia" w:eastAsiaTheme="minorEastAsia"/>
              <w:b w:val="0"/>
            </w:rPr>
            <w:fldChar w:fldCharType="separate"/>
          </w:r>
          <w:r>
            <w:rPr>
              <w:rFonts w:asciiTheme="minorEastAsia" w:hAnsiTheme="minorEastAsia" w:eastAsiaTheme="minorEastAsia"/>
              <w:b w:val="0"/>
            </w:rPr>
            <w:t>- 17 -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"_Toc72337721" </w:instrText>
          </w:r>
          <w:r>
            <w:fldChar w:fldCharType="separate"/>
          </w:r>
          <w:r>
            <w:rPr>
              <w:rStyle w:val="18"/>
              <w:rFonts w:cs="黑体" w:asciiTheme="minorEastAsia" w:hAnsiTheme="minorEastAsia" w:eastAsiaTheme="minorEastAsia"/>
              <w:b w:val="0"/>
              <w:lang w:val="en-US"/>
            </w:rPr>
            <w:t>3.1.2 信息研判与会商</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_Toc72337721 \h </w:instrText>
          </w:r>
          <w:r>
            <w:rPr>
              <w:rFonts w:asciiTheme="minorEastAsia" w:hAnsiTheme="minorEastAsia" w:eastAsiaTheme="minorEastAsia"/>
              <w:b w:val="0"/>
            </w:rPr>
            <w:fldChar w:fldCharType="separate"/>
          </w:r>
          <w:r>
            <w:rPr>
              <w:rFonts w:asciiTheme="minorEastAsia" w:hAnsiTheme="minorEastAsia" w:eastAsiaTheme="minorEastAsia"/>
              <w:b w:val="0"/>
            </w:rPr>
            <w:t>- 18 -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"_Toc72337722" </w:instrText>
          </w:r>
          <w:r>
            <w:fldChar w:fldCharType="separate"/>
          </w:r>
          <w:r>
            <w:rPr>
              <w:rStyle w:val="18"/>
              <w:rFonts w:cs="黑体" w:asciiTheme="minorEastAsia" w:hAnsiTheme="minorEastAsia" w:eastAsiaTheme="minorEastAsia"/>
              <w:b w:val="0"/>
              <w:lang w:val="en-US"/>
            </w:rPr>
            <w:t>3.2 预警</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_Toc72337722 \h </w:instrText>
          </w:r>
          <w:r>
            <w:rPr>
              <w:rFonts w:asciiTheme="minorEastAsia" w:hAnsiTheme="minorEastAsia" w:eastAsiaTheme="minorEastAsia"/>
              <w:b w:val="0"/>
            </w:rPr>
            <w:fldChar w:fldCharType="separate"/>
          </w:r>
          <w:r>
            <w:rPr>
              <w:rFonts w:asciiTheme="minorEastAsia" w:hAnsiTheme="minorEastAsia" w:eastAsiaTheme="minorEastAsia"/>
              <w:b w:val="0"/>
            </w:rPr>
            <w:t>- 19 -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"_Toc72337723" </w:instrText>
          </w:r>
          <w:r>
            <w:fldChar w:fldCharType="separate"/>
          </w:r>
          <w:r>
            <w:rPr>
              <w:rStyle w:val="18"/>
              <w:rFonts w:cs="黑体" w:asciiTheme="minorEastAsia" w:hAnsiTheme="minorEastAsia" w:eastAsiaTheme="minorEastAsia"/>
              <w:b w:val="0"/>
              <w:lang w:val="en-US"/>
            </w:rPr>
            <w:t>3.2.1 预警分级</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_Toc72337723 \h </w:instrText>
          </w:r>
          <w:r>
            <w:rPr>
              <w:rFonts w:asciiTheme="minorEastAsia" w:hAnsiTheme="minorEastAsia" w:eastAsiaTheme="minorEastAsia"/>
              <w:b w:val="0"/>
            </w:rPr>
            <w:fldChar w:fldCharType="separate"/>
          </w:r>
          <w:r>
            <w:rPr>
              <w:rFonts w:asciiTheme="minorEastAsia" w:hAnsiTheme="minorEastAsia" w:eastAsiaTheme="minorEastAsia"/>
              <w:b w:val="0"/>
            </w:rPr>
            <w:t>- 19 -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8"/>
            <w:tabs>
              <w:tab w:val="right" w:leader="dot" w:pos="8296"/>
            </w:tabs>
            <w:spacing w:line="360" w:lineRule="auto"/>
            <w:rPr>
              <w:rFonts w:asciiTheme="minorEastAsia" w:hAnsiTheme="minorEastAsia" w:eastAsiaTheme="minorEastAsia" w:cstheme="minorBidi"/>
              <w:kern w:val="2"/>
              <w:lang w:val="en-US" w:bidi="ar-SA"/>
            </w:rPr>
          </w:pPr>
          <w:r>
            <w:fldChar w:fldCharType="begin"/>
          </w:r>
          <w:r>
            <w:instrText xml:space="preserve"> HYPERLINK \l "_Toc72337724" </w:instrText>
          </w:r>
          <w:r>
            <w:fldChar w:fldCharType="separate"/>
          </w:r>
          <w:r>
            <w:rPr>
              <w:rStyle w:val="18"/>
              <w:rFonts w:cs="黑体" w:asciiTheme="minorEastAsia" w:hAnsiTheme="minorEastAsia" w:eastAsiaTheme="minorEastAsia"/>
              <w:bCs/>
              <w:lang w:val="en-US"/>
            </w:rPr>
            <w:t>3.2.2 发布预警和预警级别调整</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_Toc72337724 \h </w:instrText>
          </w:r>
          <w:r>
            <w:rPr>
              <w:rFonts w:asciiTheme="minorEastAsia" w:hAnsiTheme="minorEastAsia" w:eastAsiaTheme="minorEastAsia"/>
            </w:rPr>
            <w:fldChar w:fldCharType="separate"/>
          </w:r>
          <w:r>
            <w:rPr>
              <w:rFonts w:asciiTheme="minorEastAsia" w:hAnsiTheme="minorEastAsia" w:eastAsiaTheme="minorEastAsia"/>
            </w:rPr>
            <w:t>- 20 -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8"/>
            <w:tabs>
              <w:tab w:val="right" w:leader="dot" w:pos="8296"/>
            </w:tabs>
            <w:spacing w:line="360" w:lineRule="auto"/>
            <w:rPr>
              <w:rFonts w:asciiTheme="minorEastAsia" w:hAnsiTheme="minorEastAsia" w:eastAsiaTheme="minorEastAsia" w:cstheme="minorBidi"/>
              <w:kern w:val="2"/>
              <w:lang w:val="en-US" w:bidi="ar-SA"/>
            </w:rPr>
          </w:pPr>
          <w:r>
            <w:fldChar w:fldCharType="begin"/>
          </w:r>
          <w:r>
            <w:instrText xml:space="preserve"> HYPERLINK \l "_Toc72337725" </w:instrText>
          </w:r>
          <w:r>
            <w:fldChar w:fldCharType="separate"/>
          </w:r>
          <w:r>
            <w:rPr>
              <w:rStyle w:val="18"/>
              <w:rFonts w:cs="黑体" w:asciiTheme="minorEastAsia" w:hAnsiTheme="minorEastAsia" w:eastAsiaTheme="minorEastAsia"/>
              <w:bCs/>
              <w:lang w:val="en-US"/>
            </w:rPr>
            <w:t>3.2.3 预警行动</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_Toc72337725 \h </w:instrText>
          </w:r>
          <w:r>
            <w:rPr>
              <w:rFonts w:asciiTheme="minorEastAsia" w:hAnsiTheme="minorEastAsia" w:eastAsiaTheme="minorEastAsia"/>
            </w:rPr>
            <w:fldChar w:fldCharType="separate"/>
          </w:r>
          <w:r>
            <w:rPr>
              <w:rFonts w:asciiTheme="minorEastAsia" w:hAnsiTheme="minorEastAsia" w:eastAsiaTheme="minorEastAsia"/>
            </w:rPr>
            <w:t>- 20 -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"_Toc72337726" </w:instrText>
          </w:r>
          <w:r>
            <w:fldChar w:fldCharType="separate"/>
          </w:r>
          <w:r>
            <w:rPr>
              <w:rStyle w:val="18"/>
              <w:rFonts w:cs="黑体" w:asciiTheme="minorEastAsia" w:hAnsiTheme="minorEastAsia" w:eastAsiaTheme="minorEastAsia"/>
              <w:b w:val="0"/>
              <w:lang w:val="en-US"/>
            </w:rPr>
            <w:t>3.3 信息报告与通报</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_Toc72337726 \h </w:instrText>
          </w:r>
          <w:r>
            <w:rPr>
              <w:rFonts w:asciiTheme="minorEastAsia" w:hAnsiTheme="minorEastAsia" w:eastAsiaTheme="minorEastAsia"/>
              <w:b w:val="0"/>
            </w:rPr>
            <w:fldChar w:fldCharType="separate"/>
          </w:r>
          <w:r>
            <w:rPr>
              <w:rFonts w:asciiTheme="minorEastAsia" w:hAnsiTheme="minorEastAsia" w:eastAsiaTheme="minorEastAsia"/>
              <w:b w:val="0"/>
            </w:rPr>
            <w:t>- 22 -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"_Toc72337727" </w:instrText>
          </w:r>
          <w:r>
            <w:fldChar w:fldCharType="separate"/>
          </w:r>
          <w:r>
            <w:rPr>
              <w:rStyle w:val="18"/>
              <w:rFonts w:cs="黑体" w:asciiTheme="minorEastAsia" w:hAnsiTheme="minorEastAsia" w:eastAsiaTheme="minorEastAsia"/>
              <w:b w:val="0"/>
              <w:lang w:val="en-US"/>
            </w:rPr>
            <w:t>3.3.1 信息报告程序</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_Toc72337727 \h </w:instrText>
          </w:r>
          <w:r>
            <w:rPr>
              <w:rFonts w:asciiTheme="minorEastAsia" w:hAnsiTheme="minorEastAsia" w:eastAsiaTheme="minorEastAsia"/>
              <w:b w:val="0"/>
            </w:rPr>
            <w:fldChar w:fldCharType="separate"/>
          </w:r>
          <w:r>
            <w:rPr>
              <w:rFonts w:asciiTheme="minorEastAsia" w:hAnsiTheme="minorEastAsia" w:eastAsiaTheme="minorEastAsia"/>
              <w:b w:val="0"/>
            </w:rPr>
            <w:t>- 22 -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8"/>
            <w:tabs>
              <w:tab w:val="right" w:leader="dot" w:pos="8296"/>
            </w:tabs>
            <w:spacing w:line="360" w:lineRule="auto"/>
            <w:rPr>
              <w:rFonts w:asciiTheme="minorEastAsia" w:hAnsiTheme="minorEastAsia" w:eastAsiaTheme="minorEastAsia" w:cstheme="minorBidi"/>
              <w:kern w:val="2"/>
              <w:lang w:val="en-US" w:bidi="ar-SA"/>
            </w:rPr>
          </w:pPr>
          <w:r>
            <w:fldChar w:fldCharType="begin"/>
          </w:r>
          <w:r>
            <w:instrText xml:space="preserve"> HYPERLINK \l "_Toc72337728" </w:instrText>
          </w:r>
          <w:r>
            <w:fldChar w:fldCharType="separate"/>
          </w:r>
          <w:r>
            <w:rPr>
              <w:rStyle w:val="18"/>
              <w:rFonts w:cs="黑体" w:asciiTheme="minorEastAsia" w:hAnsiTheme="minorEastAsia" w:eastAsiaTheme="minorEastAsia"/>
              <w:bCs/>
              <w:lang w:val="en-US"/>
            </w:rPr>
            <w:t>3.3.2 信息通报程序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_Toc72337728 \h </w:instrText>
          </w:r>
          <w:r>
            <w:rPr>
              <w:rFonts w:asciiTheme="minorEastAsia" w:hAnsiTheme="minorEastAsia" w:eastAsiaTheme="minorEastAsia"/>
            </w:rPr>
            <w:fldChar w:fldCharType="separate"/>
          </w:r>
          <w:r>
            <w:rPr>
              <w:rFonts w:asciiTheme="minorEastAsia" w:hAnsiTheme="minorEastAsia" w:eastAsiaTheme="minorEastAsia"/>
            </w:rPr>
            <w:t>- 23 -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8"/>
            <w:tabs>
              <w:tab w:val="right" w:leader="dot" w:pos="8296"/>
            </w:tabs>
            <w:spacing w:line="360" w:lineRule="auto"/>
            <w:rPr>
              <w:rFonts w:asciiTheme="minorEastAsia" w:hAnsiTheme="minorEastAsia" w:eastAsiaTheme="minorEastAsia" w:cstheme="minorBidi"/>
              <w:kern w:val="2"/>
              <w:lang w:val="en-US" w:bidi="ar-SA"/>
            </w:rPr>
          </w:pPr>
          <w:r>
            <w:fldChar w:fldCharType="begin"/>
          </w:r>
          <w:r>
            <w:instrText xml:space="preserve"> HYPERLINK \l "_Toc72337729" </w:instrText>
          </w:r>
          <w:r>
            <w:fldChar w:fldCharType="separate"/>
          </w:r>
          <w:r>
            <w:rPr>
              <w:rStyle w:val="18"/>
              <w:rFonts w:cs="黑体" w:asciiTheme="minorEastAsia" w:hAnsiTheme="minorEastAsia" w:eastAsiaTheme="minorEastAsia"/>
              <w:bCs/>
              <w:lang w:val="en-US"/>
            </w:rPr>
            <w:t>3.3.3 信息报告和通报内容</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_Toc72337729 \h </w:instrText>
          </w:r>
          <w:r>
            <w:rPr>
              <w:rFonts w:asciiTheme="minorEastAsia" w:hAnsiTheme="minorEastAsia" w:eastAsiaTheme="minorEastAsia"/>
            </w:rPr>
            <w:fldChar w:fldCharType="separate"/>
          </w:r>
          <w:r>
            <w:rPr>
              <w:rFonts w:asciiTheme="minorEastAsia" w:hAnsiTheme="minorEastAsia" w:eastAsiaTheme="minorEastAsia"/>
            </w:rPr>
            <w:t>- 23 -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"_Toc72337730" </w:instrText>
          </w:r>
          <w:r>
            <w:fldChar w:fldCharType="separate"/>
          </w:r>
          <w:r>
            <w:rPr>
              <w:rStyle w:val="18"/>
              <w:rFonts w:cs="黑体" w:asciiTheme="minorEastAsia" w:hAnsiTheme="minorEastAsia" w:eastAsiaTheme="minorEastAsia"/>
              <w:b w:val="0"/>
              <w:lang w:val="en-US"/>
            </w:rPr>
            <w:t>3.4 事态研判</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_Toc72337730 \h </w:instrText>
          </w:r>
          <w:r>
            <w:rPr>
              <w:rFonts w:asciiTheme="minorEastAsia" w:hAnsiTheme="minorEastAsia" w:eastAsiaTheme="minorEastAsia"/>
              <w:b w:val="0"/>
            </w:rPr>
            <w:fldChar w:fldCharType="separate"/>
          </w:r>
          <w:r>
            <w:rPr>
              <w:rFonts w:asciiTheme="minorEastAsia" w:hAnsiTheme="minorEastAsia" w:eastAsiaTheme="minorEastAsia"/>
              <w:b w:val="0"/>
            </w:rPr>
            <w:t>- 24 -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"_Toc72337731" </w:instrText>
          </w:r>
          <w:r>
            <w:fldChar w:fldCharType="separate"/>
          </w:r>
          <w:r>
            <w:rPr>
              <w:rStyle w:val="18"/>
              <w:rFonts w:cs="黑体" w:asciiTheme="minorEastAsia" w:hAnsiTheme="minorEastAsia" w:eastAsiaTheme="minorEastAsia"/>
              <w:b w:val="0"/>
              <w:lang w:val="en-US"/>
            </w:rPr>
            <w:t>3.5 应急监测</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_Toc72337731 \h </w:instrText>
          </w:r>
          <w:r>
            <w:rPr>
              <w:rFonts w:asciiTheme="minorEastAsia" w:hAnsiTheme="minorEastAsia" w:eastAsiaTheme="minorEastAsia"/>
              <w:b w:val="0"/>
            </w:rPr>
            <w:fldChar w:fldCharType="separate"/>
          </w:r>
          <w:r>
            <w:rPr>
              <w:rFonts w:asciiTheme="minorEastAsia" w:hAnsiTheme="minorEastAsia" w:eastAsiaTheme="minorEastAsia"/>
              <w:b w:val="0"/>
            </w:rPr>
            <w:t>- 25 -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"_Toc72337732" </w:instrText>
          </w:r>
          <w:r>
            <w:fldChar w:fldCharType="separate"/>
          </w:r>
          <w:r>
            <w:rPr>
              <w:rStyle w:val="18"/>
              <w:rFonts w:cs="黑体" w:asciiTheme="minorEastAsia" w:hAnsiTheme="minorEastAsia" w:eastAsiaTheme="minorEastAsia"/>
              <w:b w:val="0"/>
              <w:lang w:val="en-US"/>
            </w:rPr>
            <w:t>3.5.1 开展应急监测的程序</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_Toc72337732 \h </w:instrText>
          </w:r>
          <w:r>
            <w:rPr>
              <w:rFonts w:asciiTheme="minorEastAsia" w:hAnsiTheme="minorEastAsia" w:eastAsiaTheme="minorEastAsia"/>
              <w:b w:val="0"/>
            </w:rPr>
            <w:fldChar w:fldCharType="separate"/>
          </w:r>
          <w:r>
            <w:rPr>
              <w:rFonts w:asciiTheme="minorEastAsia" w:hAnsiTheme="minorEastAsia" w:eastAsiaTheme="minorEastAsia"/>
              <w:b w:val="0"/>
            </w:rPr>
            <w:t>- 25 -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8"/>
            <w:tabs>
              <w:tab w:val="right" w:leader="dot" w:pos="8296"/>
            </w:tabs>
            <w:spacing w:line="360" w:lineRule="auto"/>
            <w:rPr>
              <w:rFonts w:asciiTheme="minorEastAsia" w:hAnsiTheme="minorEastAsia" w:eastAsiaTheme="minorEastAsia" w:cstheme="minorBidi"/>
              <w:kern w:val="2"/>
              <w:lang w:val="en-US" w:bidi="ar-SA"/>
            </w:rPr>
          </w:pPr>
          <w:r>
            <w:fldChar w:fldCharType="begin"/>
          </w:r>
          <w:r>
            <w:instrText xml:space="preserve"> HYPERLINK \l "_Toc72337733" </w:instrText>
          </w:r>
          <w:r>
            <w:fldChar w:fldCharType="separate"/>
          </w:r>
          <w:r>
            <w:rPr>
              <w:rStyle w:val="18"/>
              <w:rFonts w:cs="黑体" w:asciiTheme="minorEastAsia" w:hAnsiTheme="minorEastAsia" w:eastAsiaTheme="minorEastAsia"/>
              <w:bCs/>
              <w:lang w:val="en-US"/>
            </w:rPr>
            <w:t>3.5.2 制定应急监测方案</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_Toc72337733 \h </w:instrText>
          </w:r>
          <w:r>
            <w:rPr>
              <w:rFonts w:asciiTheme="minorEastAsia" w:hAnsiTheme="minorEastAsia" w:eastAsiaTheme="minorEastAsia"/>
            </w:rPr>
            <w:fldChar w:fldCharType="separate"/>
          </w:r>
          <w:r>
            <w:rPr>
              <w:rFonts w:asciiTheme="minorEastAsia" w:hAnsiTheme="minorEastAsia" w:eastAsiaTheme="minorEastAsia"/>
            </w:rPr>
            <w:t>- 25 -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"_Toc72337734" </w:instrText>
          </w:r>
          <w:r>
            <w:fldChar w:fldCharType="separate"/>
          </w:r>
          <w:r>
            <w:rPr>
              <w:rStyle w:val="18"/>
              <w:rFonts w:cs="黑体" w:asciiTheme="minorEastAsia" w:hAnsiTheme="minorEastAsia" w:eastAsiaTheme="minorEastAsia"/>
              <w:b w:val="0"/>
              <w:lang w:val="en-US"/>
            </w:rPr>
            <w:t>3.6 污染源排查与处置</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_Toc72337734 \h </w:instrText>
          </w:r>
          <w:r>
            <w:rPr>
              <w:rFonts w:asciiTheme="minorEastAsia" w:hAnsiTheme="minorEastAsia" w:eastAsiaTheme="minorEastAsia"/>
              <w:b w:val="0"/>
            </w:rPr>
            <w:fldChar w:fldCharType="separate"/>
          </w:r>
          <w:r>
            <w:rPr>
              <w:rFonts w:asciiTheme="minorEastAsia" w:hAnsiTheme="minorEastAsia" w:eastAsiaTheme="minorEastAsia"/>
              <w:b w:val="0"/>
            </w:rPr>
            <w:t>- 27 -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"_Toc72337735" </w:instrText>
          </w:r>
          <w:r>
            <w:fldChar w:fldCharType="separate"/>
          </w:r>
          <w:r>
            <w:rPr>
              <w:rStyle w:val="18"/>
              <w:rFonts w:cs="黑体" w:asciiTheme="minorEastAsia" w:hAnsiTheme="minorEastAsia" w:eastAsiaTheme="minorEastAsia"/>
              <w:b w:val="0"/>
              <w:lang w:val="en-US"/>
            </w:rPr>
            <w:t>3.6.1 明确排查对象</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_Toc72337735 \h </w:instrText>
          </w:r>
          <w:r>
            <w:rPr>
              <w:rFonts w:asciiTheme="minorEastAsia" w:hAnsiTheme="minorEastAsia" w:eastAsiaTheme="minorEastAsia"/>
              <w:b w:val="0"/>
            </w:rPr>
            <w:fldChar w:fldCharType="separate"/>
          </w:r>
          <w:r>
            <w:rPr>
              <w:rFonts w:asciiTheme="minorEastAsia" w:hAnsiTheme="minorEastAsia" w:eastAsiaTheme="minorEastAsia"/>
              <w:b w:val="0"/>
            </w:rPr>
            <w:t>- 27 -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8"/>
            <w:tabs>
              <w:tab w:val="right" w:leader="dot" w:pos="8296"/>
            </w:tabs>
            <w:spacing w:line="360" w:lineRule="auto"/>
            <w:rPr>
              <w:rFonts w:asciiTheme="minorEastAsia" w:hAnsiTheme="minorEastAsia" w:eastAsiaTheme="minorEastAsia" w:cstheme="minorBidi"/>
              <w:kern w:val="2"/>
              <w:lang w:val="en-US" w:bidi="ar-SA"/>
            </w:rPr>
          </w:pPr>
          <w:r>
            <w:fldChar w:fldCharType="begin"/>
          </w:r>
          <w:r>
            <w:instrText xml:space="preserve"> HYPERLINK \l "_Toc72337736" </w:instrText>
          </w:r>
          <w:r>
            <w:fldChar w:fldCharType="separate"/>
          </w:r>
          <w:r>
            <w:rPr>
              <w:rStyle w:val="18"/>
              <w:rFonts w:cs="黑体" w:asciiTheme="minorEastAsia" w:hAnsiTheme="minorEastAsia" w:eastAsiaTheme="minorEastAsia"/>
              <w:bCs/>
              <w:lang w:val="en-US"/>
            </w:rPr>
            <w:t>3.6.2 切断污染源</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_Toc72337736 \h </w:instrText>
          </w:r>
          <w:r>
            <w:rPr>
              <w:rFonts w:asciiTheme="minorEastAsia" w:hAnsiTheme="minorEastAsia" w:eastAsiaTheme="minorEastAsia"/>
            </w:rPr>
            <w:fldChar w:fldCharType="separate"/>
          </w:r>
          <w:r>
            <w:rPr>
              <w:rFonts w:asciiTheme="minorEastAsia" w:hAnsiTheme="minorEastAsia" w:eastAsiaTheme="minorEastAsia"/>
            </w:rPr>
            <w:t>- 28 -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"_Toc72337737" </w:instrText>
          </w:r>
          <w:r>
            <w:fldChar w:fldCharType="separate"/>
          </w:r>
          <w:r>
            <w:rPr>
              <w:rStyle w:val="18"/>
              <w:rFonts w:cs="黑体" w:asciiTheme="minorEastAsia" w:hAnsiTheme="minorEastAsia" w:eastAsiaTheme="minorEastAsia"/>
              <w:b w:val="0"/>
              <w:lang w:val="en-US"/>
            </w:rPr>
            <w:t>3.7 应急处置</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_Toc72337737 \h </w:instrText>
          </w:r>
          <w:r>
            <w:rPr>
              <w:rFonts w:asciiTheme="minorEastAsia" w:hAnsiTheme="minorEastAsia" w:eastAsiaTheme="minorEastAsia"/>
              <w:b w:val="0"/>
            </w:rPr>
            <w:fldChar w:fldCharType="separate"/>
          </w:r>
          <w:r>
            <w:rPr>
              <w:rFonts w:asciiTheme="minorEastAsia" w:hAnsiTheme="minorEastAsia" w:eastAsiaTheme="minorEastAsia"/>
              <w:b w:val="0"/>
            </w:rPr>
            <w:t>- 29 -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"_Toc72337738" </w:instrText>
          </w:r>
          <w:r>
            <w:fldChar w:fldCharType="separate"/>
          </w:r>
          <w:r>
            <w:rPr>
              <w:rStyle w:val="18"/>
              <w:rFonts w:cs="黑体" w:asciiTheme="minorEastAsia" w:hAnsiTheme="minorEastAsia" w:eastAsiaTheme="minorEastAsia"/>
              <w:b w:val="0"/>
              <w:lang w:val="en-US"/>
            </w:rPr>
            <w:t>3.7.1 现场处置</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_Toc72337738 \h </w:instrText>
          </w:r>
          <w:r>
            <w:rPr>
              <w:rFonts w:asciiTheme="minorEastAsia" w:hAnsiTheme="minorEastAsia" w:eastAsiaTheme="minorEastAsia"/>
              <w:b w:val="0"/>
            </w:rPr>
            <w:fldChar w:fldCharType="separate"/>
          </w:r>
          <w:r>
            <w:rPr>
              <w:rFonts w:asciiTheme="minorEastAsia" w:hAnsiTheme="minorEastAsia" w:eastAsiaTheme="minorEastAsia"/>
              <w:b w:val="0"/>
            </w:rPr>
            <w:t>- 29 -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8"/>
            <w:tabs>
              <w:tab w:val="right" w:leader="dot" w:pos="8296"/>
            </w:tabs>
            <w:spacing w:line="360" w:lineRule="auto"/>
            <w:rPr>
              <w:rFonts w:asciiTheme="minorEastAsia" w:hAnsiTheme="minorEastAsia" w:eastAsiaTheme="minorEastAsia" w:cstheme="minorBidi"/>
              <w:kern w:val="2"/>
              <w:lang w:val="en-US" w:bidi="ar-SA"/>
            </w:rPr>
          </w:pPr>
          <w:r>
            <w:fldChar w:fldCharType="begin"/>
          </w:r>
          <w:r>
            <w:instrText xml:space="preserve"> HYPERLINK \l "_Toc72337739" </w:instrText>
          </w:r>
          <w:r>
            <w:fldChar w:fldCharType="separate"/>
          </w:r>
          <w:r>
            <w:rPr>
              <w:rStyle w:val="18"/>
              <w:rFonts w:cs="黑体" w:asciiTheme="minorEastAsia" w:hAnsiTheme="minorEastAsia" w:eastAsiaTheme="minorEastAsia"/>
              <w:bCs/>
              <w:lang w:val="en-US"/>
            </w:rPr>
            <w:t>3.7.2 供水安全保障</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_Toc72337739 \h </w:instrText>
          </w:r>
          <w:r>
            <w:rPr>
              <w:rFonts w:asciiTheme="minorEastAsia" w:hAnsiTheme="minorEastAsia" w:eastAsiaTheme="minorEastAsia"/>
            </w:rPr>
            <w:fldChar w:fldCharType="separate"/>
          </w:r>
          <w:r>
            <w:rPr>
              <w:rFonts w:asciiTheme="minorEastAsia" w:hAnsiTheme="minorEastAsia" w:eastAsiaTheme="minorEastAsia"/>
            </w:rPr>
            <w:t>- 30 -</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"_Toc72337740" </w:instrText>
          </w:r>
          <w:r>
            <w:fldChar w:fldCharType="separate"/>
          </w:r>
          <w:r>
            <w:rPr>
              <w:rStyle w:val="18"/>
              <w:rFonts w:cs="黑体" w:asciiTheme="minorEastAsia" w:hAnsiTheme="minorEastAsia" w:eastAsiaTheme="minorEastAsia"/>
              <w:b w:val="0"/>
              <w:lang w:val="en-US"/>
            </w:rPr>
            <w:t>3.8 物资调集及应急设施启用</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_Toc72337740 \h </w:instrText>
          </w:r>
          <w:r>
            <w:rPr>
              <w:rFonts w:asciiTheme="minorEastAsia" w:hAnsiTheme="minorEastAsia" w:eastAsiaTheme="minorEastAsia"/>
              <w:b w:val="0"/>
            </w:rPr>
            <w:fldChar w:fldCharType="separate"/>
          </w:r>
          <w:r>
            <w:rPr>
              <w:rFonts w:asciiTheme="minorEastAsia" w:hAnsiTheme="minorEastAsia" w:eastAsiaTheme="minorEastAsia"/>
              <w:b w:val="0"/>
            </w:rPr>
            <w:t>- 31 -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"_Toc72337741" </w:instrText>
          </w:r>
          <w:r>
            <w:fldChar w:fldCharType="separate"/>
          </w:r>
          <w:r>
            <w:rPr>
              <w:rStyle w:val="18"/>
              <w:rFonts w:cs="黑体" w:asciiTheme="minorEastAsia" w:hAnsiTheme="minorEastAsia" w:eastAsiaTheme="minorEastAsia"/>
              <w:b w:val="0"/>
              <w:lang w:val="en-US"/>
            </w:rPr>
            <w:t>3.9 舆情监测与信息发布</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_Toc72337741 \h </w:instrText>
          </w:r>
          <w:r>
            <w:rPr>
              <w:rFonts w:asciiTheme="minorEastAsia" w:hAnsiTheme="minorEastAsia" w:eastAsiaTheme="minorEastAsia"/>
              <w:b w:val="0"/>
            </w:rPr>
            <w:fldChar w:fldCharType="separate"/>
          </w:r>
          <w:r>
            <w:rPr>
              <w:rFonts w:asciiTheme="minorEastAsia" w:hAnsiTheme="minorEastAsia" w:eastAsiaTheme="minorEastAsia"/>
              <w:b w:val="0"/>
            </w:rPr>
            <w:t>- 32 -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"_Toc72337742" </w:instrText>
          </w:r>
          <w:r>
            <w:fldChar w:fldCharType="separate"/>
          </w:r>
          <w:r>
            <w:rPr>
              <w:rStyle w:val="18"/>
              <w:rFonts w:cs="黑体" w:asciiTheme="minorEastAsia" w:hAnsiTheme="minorEastAsia" w:eastAsiaTheme="minorEastAsia"/>
              <w:b w:val="0"/>
              <w:lang w:val="en-US"/>
            </w:rPr>
            <w:t>3.10 响应中止</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_Toc72337742 \h </w:instrText>
          </w:r>
          <w:r>
            <w:rPr>
              <w:rFonts w:asciiTheme="minorEastAsia" w:hAnsiTheme="minorEastAsia" w:eastAsiaTheme="minorEastAsia"/>
              <w:b w:val="0"/>
            </w:rPr>
            <w:fldChar w:fldCharType="separate"/>
          </w:r>
          <w:r>
            <w:rPr>
              <w:rFonts w:asciiTheme="minorEastAsia" w:hAnsiTheme="minorEastAsia" w:eastAsiaTheme="minorEastAsia"/>
              <w:b w:val="0"/>
            </w:rPr>
            <w:t>- 32 -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1"/>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"_Toc72337743" </w:instrText>
          </w:r>
          <w:r>
            <w:fldChar w:fldCharType="separate"/>
          </w:r>
          <w:r>
            <w:rPr>
              <w:rStyle w:val="18"/>
              <w:rFonts w:cs="方正小标宋_GBK" w:asciiTheme="minorEastAsia" w:hAnsiTheme="minorEastAsia" w:eastAsiaTheme="minorEastAsia"/>
              <w:b w:val="0"/>
              <w:lang w:val="en-US"/>
            </w:rPr>
            <w:t>4 后期工作</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_Toc72337743 \h </w:instrText>
          </w:r>
          <w:r>
            <w:rPr>
              <w:rFonts w:asciiTheme="minorEastAsia" w:hAnsiTheme="minorEastAsia" w:eastAsiaTheme="minorEastAsia"/>
              <w:b w:val="0"/>
            </w:rPr>
            <w:fldChar w:fldCharType="separate"/>
          </w:r>
          <w:r>
            <w:rPr>
              <w:rFonts w:asciiTheme="minorEastAsia" w:hAnsiTheme="minorEastAsia" w:eastAsiaTheme="minorEastAsia"/>
              <w:b w:val="0"/>
            </w:rPr>
            <w:t>- 34 -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"_Toc72337744" </w:instrText>
          </w:r>
          <w:r>
            <w:fldChar w:fldCharType="separate"/>
          </w:r>
          <w:r>
            <w:rPr>
              <w:rStyle w:val="18"/>
              <w:rFonts w:cs="黑体" w:asciiTheme="minorEastAsia" w:hAnsiTheme="minorEastAsia" w:eastAsiaTheme="minorEastAsia"/>
              <w:b w:val="0"/>
              <w:lang w:val="en-US"/>
            </w:rPr>
            <w:t>4.1 后期防控</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_Toc72337744 \h </w:instrText>
          </w:r>
          <w:r>
            <w:rPr>
              <w:rFonts w:asciiTheme="minorEastAsia" w:hAnsiTheme="minorEastAsia" w:eastAsiaTheme="minorEastAsia"/>
              <w:b w:val="0"/>
            </w:rPr>
            <w:fldChar w:fldCharType="separate"/>
          </w:r>
          <w:r>
            <w:rPr>
              <w:rFonts w:asciiTheme="minorEastAsia" w:hAnsiTheme="minorEastAsia" w:eastAsiaTheme="minorEastAsia"/>
              <w:b w:val="0"/>
            </w:rPr>
            <w:t>- 34 -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"_Toc72337745" </w:instrText>
          </w:r>
          <w:r>
            <w:fldChar w:fldCharType="separate"/>
          </w:r>
          <w:r>
            <w:rPr>
              <w:rStyle w:val="18"/>
              <w:rFonts w:cs="黑体" w:asciiTheme="minorEastAsia" w:hAnsiTheme="minorEastAsia" w:eastAsiaTheme="minorEastAsia"/>
              <w:b w:val="0"/>
              <w:lang w:val="en-US"/>
            </w:rPr>
            <w:t>4.2 事件调查</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_Toc72337745 \h </w:instrText>
          </w:r>
          <w:r>
            <w:rPr>
              <w:rFonts w:asciiTheme="minorEastAsia" w:hAnsiTheme="minorEastAsia" w:eastAsiaTheme="minorEastAsia"/>
              <w:b w:val="0"/>
            </w:rPr>
            <w:fldChar w:fldCharType="separate"/>
          </w:r>
          <w:r>
            <w:rPr>
              <w:rFonts w:asciiTheme="minorEastAsia" w:hAnsiTheme="minorEastAsia" w:eastAsiaTheme="minorEastAsia"/>
              <w:b w:val="0"/>
            </w:rPr>
            <w:t>- 34 -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"_Toc72337746" </w:instrText>
          </w:r>
          <w:r>
            <w:fldChar w:fldCharType="separate"/>
          </w:r>
          <w:r>
            <w:rPr>
              <w:rStyle w:val="18"/>
              <w:rFonts w:cs="黑体" w:asciiTheme="minorEastAsia" w:hAnsiTheme="minorEastAsia" w:eastAsiaTheme="minorEastAsia"/>
              <w:b w:val="0"/>
              <w:lang w:val="en-US"/>
            </w:rPr>
            <w:t>4.3 损害评估</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_Toc72337746 \h </w:instrText>
          </w:r>
          <w:r>
            <w:rPr>
              <w:rFonts w:asciiTheme="minorEastAsia" w:hAnsiTheme="minorEastAsia" w:eastAsiaTheme="minorEastAsia"/>
              <w:b w:val="0"/>
            </w:rPr>
            <w:fldChar w:fldCharType="separate"/>
          </w:r>
          <w:r>
            <w:rPr>
              <w:rFonts w:asciiTheme="minorEastAsia" w:hAnsiTheme="minorEastAsia" w:eastAsiaTheme="minorEastAsia"/>
              <w:b w:val="0"/>
            </w:rPr>
            <w:t>- 35 -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"_Toc72337747" </w:instrText>
          </w:r>
          <w:r>
            <w:fldChar w:fldCharType="separate"/>
          </w:r>
          <w:r>
            <w:rPr>
              <w:rStyle w:val="18"/>
              <w:rFonts w:cs="黑体" w:asciiTheme="minorEastAsia" w:hAnsiTheme="minorEastAsia" w:eastAsiaTheme="minorEastAsia"/>
              <w:b w:val="0"/>
              <w:lang w:val="en-US"/>
            </w:rPr>
            <w:t>4.4 善后处置</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_Toc72337747 \h </w:instrText>
          </w:r>
          <w:r>
            <w:rPr>
              <w:rFonts w:asciiTheme="minorEastAsia" w:hAnsiTheme="minorEastAsia" w:eastAsiaTheme="minorEastAsia"/>
              <w:b w:val="0"/>
            </w:rPr>
            <w:fldChar w:fldCharType="separate"/>
          </w:r>
          <w:r>
            <w:rPr>
              <w:rFonts w:asciiTheme="minorEastAsia" w:hAnsiTheme="minorEastAsia" w:eastAsiaTheme="minorEastAsia"/>
              <w:b w:val="0"/>
            </w:rPr>
            <w:t>- 35 -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1"/>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"_Toc72337748" </w:instrText>
          </w:r>
          <w:r>
            <w:fldChar w:fldCharType="separate"/>
          </w:r>
          <w:r>
            <w:rPr>
              <w:rStyle w:val="18"/>
              <w:rFonts w:cs="方正小标宋_GBK" w:asciiTheme="minorEastAsia" w:hAnsiTheme="minorEastAsia" w:eastAsiaTheme="minorEastAsia"/>
              <w:b w:val="0"/>
              <w:lang w:val="en-US"/>
            </w:rPr>
            <w:t>5 应急保障</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_Toc72337748 \h </w:instrText>
          </w:r>
          <w:r>
            <w:rPr>
              <w:rFonts w:asciiTheme="minorEastAsia" w:hAnsiTheme="minorEastAsia" w:eastAsiaTheme="minorEastAsia"/>
              <w:b w:val="0"/>
            </w:rPr>
            <w:fldChar w:fldCharType="separate"/>
          </w:r>
          <w:r>
            <w:rPr>
              <w:rFonts w:asciiTheme="minorEastAsia" w:hAnsiTheme="minorEastAsia" w:eastAsiaTheme="minorEastAsia"/>
              <w:b w:val="0"/>
            </w:rPr>
            <w:t>- 36 -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"_Toc72337749" </w:instrText>
          </w:r>
          <w:r>
            <w:fldChar w:fldCharType="separate"/>
          </w:r>
          <w:r>
            <w:rPr>
              <w:rStyle w:val="18"/>
              <w:rFonts w:cs="黑体" w:asciiTheme="minorEastAsia" w:hAnsiTheme="minorEastAsia" w:eastAsiaTheme="minorEastAsia"/>
              <w:b w:val="0"/>
              <w:lang w:val="en-US"/>
            </w:rPr>
            <w:t>5.1 通讯与信息保障</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_Toc72337749 \h </w:instrText>
          </w:r>
          <w:r>
            <w:rPr>
              <w:rFonts w:asciiTheme="minorEastAsia" w:hAnsiTheme="minorEastAsia" w:eastAsiaTheme="minorEastAsia"/>
              <w:b w:val="0"/>
            </w:rPr>
            <w:fldChar w:fldCharType="separate"/>
          </w:r>
          <w:r>
            <w:rPr>
              <w:rFonts w:asciiTheme="minorEastAsia" w:hAnsiTheme="minorEastAsia" w:eastAsiaTheme="minorEastAsia"/>
              <w:b w:val="0"/>
            </w:rPr>
            <w:t>- 36 -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"_Toc72337750" </w:instrText>
          </w:r>
          <w:r>
            <w:fldChar w:fldCharType="separate"/>
          </w:r>
          <w:r>
            <w:rPr>
              <w:rStyle w:val="18"/>
              <w:rFonts w:cs="黑体" w:asciiTheme="minorEastAsia" w:hAnsiTheme="minorEastAsia" w:eastAsiaTheme="minorEastAsia"/>
              <w:b w:val="0"/>
              <w:lang w:val="en-US"/>
            </w:rPr>
            <w:t>5.2 应急队伍保障</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_Toc72337750 \h </w:instrText>
          </w:r>
          <w:r>
            <w:rPr>
              <w:rFonts w:asciiTheme="minorEastAsia" w:hAnsiTheme="minorEastAsia" w:eastAsiaTheme="minorEastAsia"/>
              <w:b w:val="0"/>
            </w:rPr>
            <w:fldChar w:fldCharType="separate"/>
          </w:r>
          <w:r>
            <w:rPr>
              <w:rFonts w:asciiTheme="minorEastAsia" w:hAnsiTheme="minorEastAsia" w:eastAsiaTheme="minorEastAsia"/>
              <w:b w:val="0"/>
            </w:rPr>
            <w:t>- 36 -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"_Toc72337751" </w:instrText>
          </w:r>
          <w:r>
            <w:fldChar w:fldCharType="separate"/>
          </w:r>
          <w:r>
            <w:rPr>
              <w:rStyle w:val="18"/>
              <w:rFonts w:cs="黑体" w:asciiTheme="minorEastAsia" w:hAnsiTheme="minorEastAsia" w:eastAsiaTheme="minorEastAsia"/>
              <w:b w:val="0"/>
              <w:lang w:val="en-US"/>
            </w:rPr>
            <w:t>5.3 应急资源保障</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_Toc72337751 \h </w:instrText>
          </w:r>
          <w:r>
            <w:rPr>
              <w:rFonts w:asciiTheme="minorEastAsia" w:hAnsiTheme="minorEastAsia" w:eastAsiaTheme="minorEastAsia"/>
              <w:b w:val="0"/>
            </w:rPr>
            <w:fldChar w:fldCharType="separate"/>
          </w:r>
          <w:r>
            <w:rPr>
              <w:rFonts w:asciiTheme="minorEastAsia" w:hAnsiTheme="minorEastAsia" w:eastAsiaTheme="minorEastAsia"/>
              <w:b w:val="0"/>
            </w:rPr>
            <w:t>- 37 -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"_Toc72337752" </w:instrText>
          </w:r>
          <w:r>
            <w:fldChar w:fldCharType="separate"/>
          </w:r>
          <w:r>
            <w:rPr>
              <w:rStyle w:val="18"/>
              <w:rFonts w:cs="黑体" w:asciiTheme="minorEastAsia" w:hAnsiTheme="minorEastAsia" w:eastAsiaTheme="minorEastAsia"/>
              <w:b w:val="0"/>
              <w:lang w:val="en-US"/>
            </w:rPr>
            <w:t>5.4 资金保障</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_Toc72337752 \h </w:instrText>
          </w:r>
          <w:r>
            <w:rPr>
              <w:rFonts w:asciiTheme="minorEastAsia" w:hAnsiTheme="minorEastAsia" w:eastAsiaTheme="minorEastAsia"/>
              <w:b w:val="0"/>
            </w:rPr>
            <w:fldChar w:fldCharType="separate"/>
          </w:r>
          <w:r>
            <w:rPr>
              <w:rFonts w:asciiTheme="minorEastAsia" w:hAnsiTheme="minorEastAsia" w:eastAsiaTheme="minorEastAsia"/>
              <w:b w:val="0"/>
            </w:rPr>
            <w:t>- 37 -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"_Toc72337753" </w:instrText>
          </w:r>
          <w:r>
            <w:fldChar w:fldCharType="separate"/>
          </w:r>
          <w:r>
            <w:rPr>
              <w:rStyle w:val="18"/>
              <w:rFonts w:cs="黑体" w:asciiTheme="minorEastAsia" w:hAnsiTheme="minorEastAsia" w:eastAsiaTheme="minorEastAsia"/>
              <w:b w:val="0"/>
              <w:lang w:val="en-US"/>
            </w:rPr>
            <w:t>5.5 其他保障</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_Toc72337753 \h </w:instrText>
          </w:r>
          <w:r>
            <w:rPr>
              <w:rFonts w:asciiTheme="minorEastAsia" w:hAnsiTheme="minorEastAsia" w:eastAsiaTheme="minorEastAsia"/>
              <w:b w:val="0"/>
            </w:rPr>
            <w:fldChar w:fldCharType="separate"/>
          </w:r>
          <w:r>
            <w:rPr>
              <w:rFonts w:asciiTheme="minorEastAsia" w:hAnsiTheme="minorEastAsia" w:eastAsiaTheme="minorEastAsia"/>
              <w:b w:val="0"/>
            </w:rPr>
            <w:t>- 37 -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"_Toc72337754" </w:instrText>
          </w:r>
          <w:r>
            <w:fldChar w:fldCharType="separate"/>
          </w:r>
          <w:r>
            <w:rPr>
              <w:rStyle w:val="18"/>
              <w:rFonts w:cs="方正小标宋_GBK" w:asciiTheme="minorEastAsia" w:hAnsiTheme="minorEastAsia" w:eastAsiaTheme="minorEastAsia"/>
              <w:b w:val="0"/>
              <w:kern w:val="44"/>
              <w:lang w:val="en-US"/>
            </w:rPr>
            <w:t>6 附则</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_Toc72337754 \h </w:instrText>
          </w:r>
          <w:r>
            <w:rPr>
              <w:rFonts w:asciiTheme="minorEastAsia" w:hAnsiTheme="minorEastAsia" w:eastAsiaTheme="minorEastAsia"/>
              <w:b w:val="0"/>
            </w:rPr>
            <w:fldChar w:fldCharType="separate"/>
          </w:r>
          <w:r>
            <w:rPr>
              <w:rFonts w:asciiTheme="minorEastAsia" w:hAnsiTheme="minorEastAsia" w:eastAsiaTheme="minorEastAsia"/>
              <w:b w:val="0"/>
            </w:rPr>
            <w:t>- 38 -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"_Toc72337755" </w:instrText>
          </w:r>
          <w:r>
            <w:fldChar w:fldCharType="separate"/>
          </w:r>
          <w:r>
            <w:rPr>
              <w:rStyle w:val="18"/>
              <w:rFonts w:cs="黑体" w:asciiTheme="minorEastAsia" w:hAnsiTheme="minorEastAsia" w:eastAsiaTheme="minorEastAsia"/>
              <w:b w:val="0"/>
              <w:lang w:val="en-US"/>
            </w:rPr>
            <w:t>6.1 名称术语</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_Toc72337755 \h </w:instrText>
          </w:r>
          <w:r>
            <w:rPr>
              <w:rFonts w:asciiTheme="minorEastAsia" w:hAnsiTheme="minorEastAsia" w:eastAsiaTheme="minorEastAsia"/>
              <w:b w:val="0"/>
            </w:rPr>
            <w:fldChar w:fldCharType="separate"/>
          </w:r>
          <w:r>
            <w:rPr>
              <w:rFonts w:asciiTheme="minorEastAsia" w:hAnsiTheme="minorEastAsia" w:eastAsiaTheme="minorEastAsia"/>
              <w:b w:val="0"/>
            </w:rPr>
            <w:t>- 38 -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"_Toc72337756" </w:instrText>
          </w:r>
          <w:r>
            <w:fldChar w:fldCharType="separate"/>
          </w:r>
          <w:r>
            <w:rPr>
              <w:rStyle w:val="18"/>
              <w:rFonts w:cs="黑体" w:asciiTheme="minorEastAsia" w:hAnsiTheme="minorEastAsia" w:eastAsiaTheme="minorEastAsia"/>
              <w:b w:val="0"/>
              <w:lang w:val="en-US"/>
            </w:rPr>
            <w:t>6.2 预案解释部门</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_Toc72337756 \h </w:instrText>
          </w:r>
          <w:r>
            <w:rPr>
              <w:rFonts w:asciiTheme="minorEastAsia" w:hAnsiTheme="minorEastAsia" w:eastAsiaTheme="minorEastAsia"/>
              <w:b w:val="0"/>
            </w:rPr>
            <w:fldChar w:fldCharType="separate"/>
          </w:r>
          <w:r>
            <w:rPr>
              <w:rFonts w:asciiTheme="minorEastAsia" w:hAnsiTheme="minorEastAsia" w:eastAsiaTheme="minorEastAsia"/>
              <w:b w:val="0"/>
            </w:rPr>
            <w:t>- 39 -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"_Toc72337757" </w:instrText>
          </w:r>
          <w:r>
            <w:fldChar w:fldCharType="separate"/>
          </w:r>
          <w:r>
            <w:rPr>
              <w:rStyle w:val="18"/>
              <w:rFonts w:cs="黑体" w:asciiTheme="minorEastAsia" w:hAnsiTheme="minorEastAsia" w:eastAsiaTheme="minorEastAsia"/>
              <w:b w:val="0"/>
              <w:lang w:val="en-US"/>
            </w:rPr>
            <w:t>6.3 预案演练和修订</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_Toc72337757 \h </w:instrText>
          </w:r>
          <w:r>
            <w:rPr>
              <w:rFonts w:asciiTheme="minorEastAsia" w:hAnsiTheme="minorEastAsia" w:eastAsiaTheme="minorEastAsia"/>
              <w:b w:val="0"/>
            </w:rPr>
            <w:fldChar w:fldCharType="separate"/>
          </w:r>
          <w:r>
            <w:rPr>
              <w:rFonts w:asciiTheme="minorEastAsia" w:hAnsiTheme="minorEastAsia" w:eastAsiaTheme="minorEastAsia"/>
              <w:b w:val="0"/>
            </w:rPr>
            <w:t>- 39 -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2"/>
            <w:tabs>
              <w:tab w:val="right" w:leader="dot" w:pos="8296"/>
            </w:tabs>
            <w:spacing w:line="360" w:lineRule="auto"/>
            <w:rPr>
              <w:rFonts w:asciiTheme="minorEastAsia" w:hAnsiTheme="minorEastAsia" w:eastAsiaTheme="minorEastAsia" w:cstheme="minorBidi"/>
              <w:b w:val="0"/>
              <w:bCs w:val="0"/>
              <w:kern w:val="2"/>
              <w:lang w:val="en-US" w:bidi="ar-SA"/>
            </w:rPr>
          </w:pPr>
          <w:r>
            <w:rPr>
              <w:rStyle w:val="18"/>
              <w:rFonts w:asciiTheme="minorEastAsia" w:hAnsiTheme="minorEastAsia" w:eastAsiaTheme="minorEastAsia"/>
              <w:b w:val="0"/>
            </w:rPr>
            <w:fldChar w:fldCharType="begin"/>
          </w:r>
          <w:r>
            <w:rPr>
              <w:rStyle w:val="18"/>
              <w:rFonts w:asciiTheme="minorEastAsia" w:hAnsiTheme="minorEastAsia" w:eastAsiaTheme="minorEastAsia"/>
              <w:b w:val="0"/>
            </w:rPr>
            <w:instrText xml:space="preserve"> </w:instrText>
          </w:r>
          <w:r>
            <w:rPr>
              <w:rFonts w:asciiTheme="minorEastAsia" w:hAnsiTheme="minorEastAsia" w:eastAsiaTheme="minorEastAsia"/>
              <w:b w:val="0"/>
            </w:rPr>
            <w:instrText xml:space="preserve">HYPERLINK \l "_Toc72337758"</w:instrText>
          </w:r>
          <w:r>
            <w:rPr>
              <w:rStyle w:val="18"/>
              <w:rFonts w:asciiTheme="minorEastAsia" w:hAnsiTheme="minorEastAsia" w:eastAsiaTheme="minorEastAsia"/>
              <w:b w:val="0"/>
            </w:rPr>
            <w:instrText xml:space="preserve"> </w:instrText>
          </w:r>
          <w:r>
            <w:rPr>
              <w:rStyle w:val="18"/>
              <w:rFonts w:asciiTheme="minorEastAsia" w:hAnsiTheme="minorEastAsia" w:eastAsiaTheme="minorEastAsia"/>
              <w:b w:val="0"/>
            </w:rPr>
            <w:fldChar w:fldCharType="separate"/>
          </w:r>
          <w:r>
            <w:rPr>
              <w:rStyle w:val="18"/>
              <w:rFonts w:cs="黑体" w:asciiTheme="minorEastAsia" w:hAnsiTheme="minorEastAsia" w:eastAsiaTheme="minorEastAsia"/>
              <w:b w:val="0"/>
              <w:lang w:val="en-US"/>
            </w:rPr>
            <w:t>6.4 预案实施时间</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_Toc72337758 \h </w:instrText>
          </w:r>
          <w:r>
            <w:rPr>
              <w:rFonts w:asciiTheme="minorEastAsia" w:hAnsiTheme="minorEastAsia" w:eastAsiaTheme="minorEastAsia"/>
              <w:b w:val="0"/>
            </w:rPr>
            <w:fldChar w:fldCharType="separate"/>
          </w:r>
          <w:r>
            <w:rPr>
              <w:rFonts w:asciiTheme="minorEastAsia" w:hAnsiTheme="minorEastAsia" w:eastAsiaTheme="minorEastAsia"/>
              <w:b w:val="0"/>
            </w:rPr>
            <w:t>- 40 -</w:t>
          </w:r>
          <w:r>
            <w:rPr>
              <w:rFonts w:asciiTheme="minorEastAsia" w:hAnsiTheme="minorEastAsia" w:eastAsiaTheme="minorEastAsia"/>
              <w:b w:val="0"/>
            </w:rPr>
            <w:fldChar w:fldCharType="end"/>
          </w:r>
          <w:r>
            <w:rPr>
              <w:rStyle w:val="18"/>
              <w:rFonts w:asciiTheme="minorEastAsia" w:hAnsiTheme="minorEastAsia" w:eastAsiaTheme="minorEastAsia"/>
              <w:b w:val="0"/>
            </w:rPr>
            <w:fldChar w:fldCharType="end"/>
          </w:r>
        </w:p>
        <w:p>
          <w:pPr>
            <w:pStyle w:val="11"/>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"_Toc72337759" </w:instrText>
          </w:r>
          <w:r>
            <w:fldChar w:fldCharType="separate"/>
          </w:r>
          <w:r>
            <w:rPr>
              <w:rStyle w:val="18"/>
              <w:rFonts w:asciiTheme="minorEastAsia" w:hAnsiTheme="minorEastAsia" w:eastAsiaTheme="minorEastAsia"/>
              <w:b w:val="0"/>
              <w:lang w:val="en-US"/>
            </w:rPr>
            <w:t>附图附件</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_Toc72337759 \h </w:instrText>
          </w:r>
          <w:r>
            <w:rPr>
              <w:rFonts w:asciiTheme="minorEastAsia" w:hAnsiTheme="minorEastAsia" w:eastAsiaTheme="minorEastAsia"/>
              <w:b w:val="0"/>
            </w:rPr>
            <w:fldChar w:fldCharType="separate"/>
          </w:r>
          <w:r>
            <w:rPr>
              <w:rFonts w:asciiTheme="minorEastAsia" w:hAnsiTheme="minorEastAsia" w:eastAsiaTheme="minorEastAsia"/>
              <w:b w:val="0"/>
            </w:rPr>
            <w:t>- 41 -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1"/>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"_Toc72337760" </w:instrText>
          </w:r>
          <w:r>
            <w:fldChar w:fldCharType="separate"/>
          </w:r>
          <w:r>
            <w:rPr>
              <w:rStyle w:val="18"/>
              <w:rFonts w:asciiTheme="minorEastAsia" w:hAnsiTheme="minorEastAsia" w:eastAsiaTheme="minorEastAsia"/>
              <w:b w:val="0"/>
            </w:rPr>
            <w:t>附</w:t>
          </w:r>
          <w:r>
            <w:rPr>
              <w:rStyle w:val="18"/>
              <w:rFonts w:asciiTheme="minorEastAsia" w:hAnsiTheme="minorEastAsia" w:eastAsiaTheme="minorEastAsia"/>
              <w:b w:val="0"/>
              <w:lang w:val="en-US"/>
            </w:rPr>
            <w:t>图1</w:t>
          </w:r>
          <w:r>
            <w:rPr>
              <w:rStyle w:val="18"/>
              <w:rFonts w:asciiTheme="minorEastAsia" w:hAnsiTheme="minorEastAsia" w:eastAsiaTheme="minorEastAsia"/>
              <w:b w:val="0"/>
            </w:rPr>
            <w:t xml:space="preserve"> 赤壁市乡镇级集中式饮用水水源地保护区示意图</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_Toc72337760 \h </w:instrText>
          </w:r>
          <w:r>
            <w:rPr>
              <w:rFonts w:asciiTheme="minorEastAsia" w:hAnsiTheme="minorEastAsia" w:eastAsiaTheme="minorEastAsia"/>
              <w:b w:val="0"/>
            </w:rPr>
            <w:fldChar w:fldCharType="separate"/>
          </w:r>
          <w:r>
            <w:rPr>
              <w:rFonts w:asciiTheme="minorEastAsia" w:hAnsiTheme="minorEastAsia" w:eastAsiaTheme="minorEastAsia"/>
              <w:b w:val="0"/>
            </w:rPr>
            <w:t>- 42 -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1"/>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"_Toc72337761" </w:instrText>
          </w:r>
          <w:r>
            <w:fldChar w:fldCharType="separate"/>
          </w:r>
          <w:r>
            <w:rPr>
              <w:rStyle w:val="18"/>
              <w:rFonts w:asciiTheme="minorEastAsia" w:hAnsiTheme="minorEastAsia" w:eastAsiaTheme="minorEastAsia"/>
              <w:b w:val="0"/>
            </w:rPr>
            <w:t>附</w:t>
          </w:r>
          <w:r>
            <w:rPr>
              <w:rStyle w:val="18"/>
              <w:rFonts w:asciiTheme="minorEastAsia" w:hAnsiTheme="minorEastAsia" w:eastAsiaTheme="minorEastAsia"/>
              <w:b w:val="0"/>
              <w:lang w:val="en-US"/>
            </w:rPr>
            <w:t>图2</w:t>
          </w:r>
          <w:r>
            <w:rPr>
              <w:rStyle w:val="18"/>
              <w:rFonts w:asciiTheme="minorEastAsia" w:hAnsiTheme="minorEastAsia" w:eastAsiaTheme="minorEastAsia"/>
              <w:b w:val="0"/>
            </w:rPr>
            <w:t xml:space="preserve"> </w:t>
          </w:r>
          <w:r>
            <w:rPr>
              <w:rStyle w:val="18"/>
              <w:rFonts w:asciiTheme="minorEastAsia" w:hAnsiTheme="minorEastAsia" w:eastAsiaTheme="minorEastAsia"/>
              <w:b w:val="0"/>
              <w:lang w:val="en-US"/>
            </w:rPr>
            <w:t xml:space="preserve"> </w:t>
          </w:r>
          <w:r>
            <w:rPr>
              <w:rStyle w:val="18"/>
              <w:rFonts w:asciiTheme="minorEastAsia" w:hAnsiTheme="minorEastAsia" w:eastAsiaTheme="minorEastAsia"/>
              <w:b w:val="0"/>
            </w:rPr>
            <w:t>突发污染事件应急处置工作流程</w:t>
          </w:r>
          <w:r>
            <w:rPr>
              <w:rStyle w:val="18"/>
              <w:rFonts w:asciiTheme="minorEastAsia" w:hAnsiTheme="minorEastAsia" w:eastAsiaTheme="minorEastAsia"/>
              <w:b w:val="0"/>
              <w:lang w:val="en-US"/>
            </w:rPr>
            <w:t>图</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_Toc72337761 \h </w:instrText>
          </w:r>
          <w:r>
            <w:rPr>
              <w:rFonts w:asciiTheme="minorEastAsia" w:hAnsiTheme="minorEastAsia" w:eastAsiaTheme="minorEastAsia"/>
              <w:b w:val="0"/>
            </w:rPr>
            <w:fldChar w:fldCharType="separate"/>
          </w:r>
          <w:r>
            <w:rPr>
              <w:rFonts w:asciiTheme="minorEastAsia" w:hAnsiTheme="minorEastAsia" w:eastAsiaTheme="minorEastAsia"/>
              <w:b w:val="0"/>
            </w:rPr>
            <w:t>- 51 -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1"/>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"_Toc72337762" </w:instrText>
          </w:r>
          <w:r>
            <w:fldChar w:fldCharType="separate"/>
          </w:r>
          <w:r>
            <w:rPr>
              <w:rStyle w:val="18"/>
              <w:rFonts w:asciiTheme="minorEastAsia" w:hAnsiTheme="minorEastAsia" w:eastAsiaTheme="minorEastAsia"/>
              <w:b w:val="0"/>
            </w:rPr>
            <w:t>附件</w:t>
          </w:r>
          <w:r>
            <w:rPr>
              <w:rStyle w:val="18"/>
              <w:rFonts w:asciiTheme="minorEastAsia" w:hAnsiTheme="minorEastAsia" w:eastAsiaTheme="minorEastAsia"/>
              <w:b w:val="0"/>
              <w:lang w:val="en-US"/>
            </w:rPr>
            <w:t>1</w:t>
          </w:r>
          <w:r>
            <w:rPr>
              <w:rStyle w:val="18"/>
              <w:rFonts w:asciiTheme="minorEastAsia" w:hAnsiTheme="minorEastAsia" w:eastAsiaTheme="minorEastAsia"/>
              <w:b w:val="0"/>
            </w:rPr>
            <w:t xml:space="preserve"> 赤壁市乡镇级集中式饮用水水源地概况</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_Toc72337762 \h </w:instrText>
          </w:r>
          <w:r>
            <w:rPr>
              <w:rFonts w:asciiTheme="minorEastAsia" w:hAnsiTheme="minorEastAsia" w:eastAsiaTheme="minorEastAsia"/>
              <w:b w:val="0"/>
            </w:rPr>
            <w:fldChar w:fldCharType="separate"/>
          </w:r>
          <w:r>
            <w:rPr>
              <w:rFonts w:asciiTheme="minorEastAsia" w:hAnsiTheme="minorEastAsia" w:eastAsiaTheme="minorEastAsia"/>
              <w:b w:val="0"/>
            </w:rPr>
            <w:t>- 52 -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1"/>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"_Toc72337763" </w:instrText>
          </w:r>
          <w:r>
            <w:fldChar w:fldCharType="separate"/>
          </w:r>
          <w:r>
            <w:rPr>
              <w:rStyle w:val="18"/>
              <w:rFonts w:asciiTheme="minorEastAsia" w:hAnsiTheme="minorEastAsia" w:eastAsiaTheme="minorEastAsia"/>
              <w:b w:val="0"/>
            </w:rPr>
            <w:t>附件</w:t>
          </w:r>
          <w:r>
            <w:rPr>
              <w:rStyle w:val="18"/>
              <w:rFonts w:asciiTheme="minorEastAsia" w:hAnsiTheme="minorEastAsia" w:eastAsiaTheme="minorEastAsia"/>
              <w:b w:val="0"/>
              <w:lang w:val="en-US"/>
            </w:rPr>
            <w:t>2</w:t>
          </w:r>
          <w:r>
            <w:rPr>
              <w:rStyle w:val="18"/>
              <w:rFonts w:asciiTheme="minorEastAsia" w:hAnsiTheme="minorEastAsia" w:eastAsiaTheme="minorEastAsia"/>
              <w:b w:val="0"/>
            </w:rPr>
            <w:t xml:space="preserve"> 集中式饮用水水源地突发环境事件应急指挥机构成员</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_Toc72337763 \h </w:instrText>
          </w:r>
          <w:r>
            <w:rPr>
              <w:rFonts w:asciiTheme="minorEastAsia" w:hAnsiTheme="minorEastAsia" w:eastAsiaTheme="minorEastAsia"/>
              <w:b w:val="0"/>
            </w:rPr>
            <w:fldChar w:fldCharType="separate"/>
          </w:r>
          <w:r>
            <w:rPr>
              <w:rFonts w:asciiTheme="minorEastAsia" w:hAnsiTheme="minorEastAsia" w:eastAsiaTheme="minorEastAsia"/>
              <w:b w:val="0"/>
            </w:rPr>
            <w:t>- 53 -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1"/>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"_Toc72337764" </w:instrText>
          </w:r>
          <w:r>
            <w:fldChar w:fldCharType="separate"/>
          </w:r>
          <w:r>
            <w:rPr>
              <w:rStyle w:val="18"/>
              <w:rFonts w:asciiTheme="minorEastAsia" w:hAnsiTheme="minorEastAsia" w:eastAsiaTheme="minorEastAsia"/>
              <w:b w:val="0"/>
            </w:rPr>
            <w:t>附件</w:t>
          </w:r>
          <w:r>
            <w:rPr>
              <w:rStyle w:val="18"/>
              <w:rFonts w:asciiTheme="minorEastAsia" w:hAnsiTheme="minorEastAsia" w:eastAsiaTheme="minorEastAsia"/>
              <w:b w:val="0"/>
              <w:lang w:val="en-US"/>
            </w:rPr>
            <w:t>3</w:t>
          </w:r>
          <w:r>
            <w:rPr>
              <w:rStyle w:val="18"/>
              <w:rFonts w:asciiTheme="minorEastAsia" w:hAnsiTheme="minorEastAsia" w:eastAsiaTheme="minorEastAsia"/>
              <w:b w:val="0"/>
            </w:rPr>
            <w:t xml:space="preserve"> 集中式饮用水水源地突发环境事件应急主要成员单位及职责</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_Toc72337764 \h </w:instrText>
          </w:r>
          <w:r>
            <w:rPr>
              <w:rFonts w:asciiTheme="minorEastAsia" w:hAnsiTheme="minorEastAsia" w:eastAsiaTheme="minorEastAsia"/>
              <w:b w:val="0"/>
            </w:rPr>
            <w:fldChar w:fldCharType="separate"/>
          </w:r>
          <w:r>
            <w:rPr>
              <w:rFonts w:asciiTheme="minorEastAsia" w:hAnsiTheme="minorEastAsia" w:eastAsiaTheme="minorEastAsia"/>
              <w:b w:val="0"/>
            </w:rPr>
            <w:t>- 54 -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1"/>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"_Toc72337765" </w:instrText>
          </w:r>
          <w:r>
            <w:fldChar w:fldCharType="separate"/>
          </w:r>
          <w:r>
            <w:rPr>
              <w:rStyle w:val="18"/>
              <w:rFonts w:asciiTheme="minorEastAsia" w:hAnsiTheme="minorEastAsia" w:eastAsiaTheme="minorEastAsia"/>
              <w:b w:val="0"/>
            </w:rPr>
            <w:t>附件</w:t>
          </w:r>
          <w:r>
            <w:rPr>
              <w:rStyle w:val="18"/>
              <w:rFonts w:asciiTheme="minorEastAsia" w:hAnsiTheme="minorEastAsia" w:eastAsiaTheme="minorEastAsia"/>
              <w:b w:val="0"/>
              <w:lang w:val="en-US"/>
            </w:rPr>
            <w:t>4</w:t>
          </w:r>
          <w:r>
            <w:rPr>
              <w:rStyle w:val="18"/>
              <w:rFonts w:asciiTheme="minorEastAsia" w:hAnsiTheme="minorEastAsia" w:eastAsiaTheme="minorEastAsia"/>
              <w:b w:val="0"/>
            </w:rPr>
            <w:t xml:space="preserve"> 应急工作组职责</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_Toc72337765 \h </w:instrText>
          </w:r>
          <w:r>
            <w:rPr>
              <w:rFonts w:asciiTheme="minorEastAsia" w:hAnsiTheme="minorEastAsia" w:eastAsiaTheme="minorEastAsia"/>
              <w:b w:val="0"/>
            </w:rPr>
            <w:fldChar w:fldCharType="separate"/>
          </w:r>
          <w:r>
            <w:rPr>
              <w:rFonts w:asciiTheme="minorEastAsia" w:hAnsiTheme="minorEastAsia" w:eastAsiaTheme="minorEastAsia"/>
              <w:b w:val="0"/>
            </w:rPr>
            <w:t>- 57 -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1"/>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"_Toc72337766" </w:instrText>
          </w:r>
          <w:r>
            <w:fldChar w:fldCharType="separate"/>
          </w:r>
          <w:r>
            <w:rPr>
              <w:rStyle w:val="18"/>
              <w:rFonts w:asciiTheme="minorEastAsia" w:hAnsiTheme="minorEastAsia" w:eastAsiaTheme="minorEastAsia"/>
              <w:b w:val="0"/>
            </w:rPr>
            <w:t>附件</w:t>
          </w:r>
          <w:r>
            <w:rPr>
              <w:rStyle w:val="18"/>
              <w:rFonts w:asciiTheme="minorEastAsia" w:hAnsiTheme="minorEastAsia" w:eastAsiaTheme="minorEastAsia"/>
              <w:b w:val="0"/>
              <w:lang w:val="en-US"/>
            </w:rPr>
            <w:t>5</w:t>
          </w:r>
          <w:r>
            <w:rPr>
              <w:rStyle w:val="18"/>
              <w:rFonts w:asciiTheme="minorEastAsia" w:hAnsiTheme="minorEastAsia" w:eastAsiaTheme="minorEastAsia"/>
              <w:b w:val="0"/>
            </w:rPr>
            <w:t xml:space="preserve"> 集中式饮用水水源地突发污染事件应急常用物资表</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_Toc72337766 \h </w:instrText>
          </w:r>
          <w:r>
            <w:rPr>
              <w:rFonts w:asciiTheme="minorEastAsia" w:hAnsiTheme="minorEastAsia" w:eastAsiaTheme="minorEastAsia"/>
              <w:b w:val="0"/>
            </w:rPr>
            <w:fldChar w:fldCharType="separate"/>
          </w:r>
          <w:r>
            <w:rPr>
              <w:rFonts w:asciiTheme="minorEastAsia" w:hAnsiTheme="minorEastAsia" w:eastAsiaTheme="minorEastAsia"/>
              <w:b w:val="0"/>
            </w:rPr>
            <w:t>- 59 -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1"/>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"_Toc72337767" </w:instrText>
          </w:r>
          <w:r>
            <w:fldChar w:fldCharType="separate"/>
          </w:r>
          <w:r>
            <w:rPr>
              <w:rStyle w:val="18"/>
              <w:rFonts w:asciiTheme="minorEastAsia" w:hAnsiTheme="minorEastAsia" w:eastAsiaTheme="minorEastAsia"/>
              <w:b w:val="0"/>
            </w:rPr>
            <w:t>附件</w:t>
          </w:r>
          <w:r>
            <w:rPr>
              <w:rStyle w:val="18"/>
              <w:rFonts w:asciiTheme="minorEastAsia" w:hAnsiTheme="minorEastAsia" w:eastAsiaTheme="minorEastAsia"/>
              <w:b w:val="0"/>
              <w:lang w:val="en-US"/>
            </w:rPr>
            <w:t>6</w:t>
          </w:r>
          <w:r>
            <w:rPr>
              <w:rStyle w:val="18"/>
              <w:rFonts w:asciiTheme="minorEastAsia" w:hAnsiTheme="minorEastAsia" w:eastAsiaTheme="minorEastAsia"/>
              <w:b w:val="0"/>
            </w:rPr>
            <w:t xml:space="preserve"> 常见化学品引发水污染事故的简要处置方法</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_Toc72337767 \h </w:instrText>
          </w:r>
          <w:r>
            <w:rPr>
              <w:rFonts w:asciiTheme="minorEastAsia" w:hAnsiTheme="minorEastAsia" w:eastAsiaTheme="minorEastAsia"/>
              <w:b w:val="0"/>
            </w:rPr>
            <w:fldChar w:fldCharType="separate"/>
          </w:r>
          <w:r>
            <w:rPr>
              <w:rFonts w:asciiTheme="minorEastAsia" w:hAnsiTheme="minorEastAsia" w:eastAsiaTheme="minorEastAsia"/>
              <w:b w:val="0"/>
            </w:rPr>
            <w:t>- 60 -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1"/>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"_Toc72337768" </w:instrText>
          </w:r>
          <w:r>
            <w:fldChar w:fldCharType="separate"/>
          </w:r>
          <w:r>
            <w:rPr>
              <w:rStyle w:val="18"/>
              <w:rFonts w:asciiTheme="minorEastAsia" w:hAnsiTheme="minorEastAsia" w:eastAsiaTheme="minorEastAsia"/>
              <w:b w:val="0"/>
            </w:rPr>
            <w:t>附件</w:t>
          </w:r>
          <w:r>
            <w:rPr>
              <w:rStyle w:val="18"/>
              <w:rFonts w:asciiTheme="minorEastAsia" w:hAnsiTheme="minorEastAsia" w:eastAsiaTheme="minorEastAsia"/>
              <w:b w:val="0"/>
              <w:lang w:val="en-US"/>
            </w:rPr>
            <w:t>7</w:t>
          </w:r>
          <w:r>
            <w:rPr>
              <w:rStyle w:val="18"/>
              <w:rFonts w:asciiTheme="minorEastAsia" w:hAnsiTheme="minorEastAsia" w:eastAsiaTheme="minorEastAsia"/>
              <w:b w:val="0"/>
            </w:rPr>
            <w:t xml:space="preserve"> 风险防控应急体系建设</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_Toc72337768 \h </w:instrText>
          </w:r>
          <w:r>
            <w:rPr>
              <w:rFonts w:asciiTheme="minorEastAsia" w:hAnsiTheme="minorEastAsia" w:eastAsiaTheme="minorEastAsia"/>
              <w:b w:val="0"/>
            </w:rPr>
            <w:fldChar w:fldCharType="separate"/>
          </w:r>
          <w:r>
            <w:rPr>
              <w:rFonts w:asciiTheme="minorEastAsia" w:hAnsiTheme="minorEastAsia" w:eastAsiaTheme="minorEastAsia"/>
              <w:b w:val="0"/>
            </w:rPr>
            <w:t>- 63 -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1"/>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"_Toc72337769" </w:instrText>
          </w:r>
          <w:r>
            <w:fldChar w:fldCharType="separate"/>
          </w:r>
          <w:r>
            <w:rPr>
              <w:rStyle w:val="18"/>
              <w:rFonts w:asciiTheme="minorEastAsia" w:hAnsiTheme="minorEastAsia" w:eastAsiaTheme="minorEastAsia"/>
              <w:b w:val="0"/>
            </w:rPr>
            <w:t>附件</w:t>
          </w:r>
          <w:r>
            <w:rPr>
              <w:rStyle w:val="18"/>
              <w:rFonts w:asciiTheme="minorEastAsia" w:hAnsiTheme="minorEastAsia" w:eastAsiaTheme="minorEastAsia"/>
              <w:b w:val="0"/>
              <w:lang w:val="en-US"/>
            </w:rPr>
            <w:t>8</w:t>
          </w:r>
          <w:r>
            <w:rPr>
              <w:rStyle w:val="18"/>
              <w:rFonts w:asciiTheme="minorEastAsia" w:hAnsiTheme="minorEastAsia" w:eastAsiaTheme="minorEastAsia"/>
              <w:b w:val="0"/>
            </w:rPr>
            <w:t xml:space="preserve"> 赤壁市乡镇式集中式饮用水水源地风险源清单</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_Toc72337769 \h </w:instrText>
          </w:r>
          <w:r>
            <w:rPr>
              <w:rFonts w:asciiTheme="minorEastAsia" w:hAnsiTheme="minorEastAsia" w:eastAsiaTheme="minorEastAsia"/>
              <w:b w:val="0"/>
            </w:rPr>
            <w:fldChar w:fldCharType="separate"/>
          </w:r>
          <w:r>
            <w:rPr>
              <w:rFonts w:asciiTheme="minorEastAsia" w:hAnsiTheme="minorEastAsia" w:eastAsiaTheme="minorEastAsia"/>
              <w:b w:val="0"/>
            </w:rPr>
            <w:t>- 66 -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11"/>
            <w:tabs>
              <w:tab w:val="right" w:leader="dot" w:pos="8296"/>
            </w:tabs>
            <w:spacing w:line="360" w:lineRule="auto"/>
            <w:rPr>
              <w:rFonts w:asciiTheme="minorEastAsia" w:hAnsiTheme="minorEastAsia" w:eastAsiaTheme="minorEastAsia" w:cstheme="minorBidi"/>
              <w:b w:val="0"/>
              <w:bCs w:val="0"/>
              <w:kern w:val="2"/>
              <w:lang w:val="en-US" w:bidi="ar-SA"/>
            </w:rPr>
          </w:pPr>
          <w:r>
            <w:fldChar w:fldCharType="begin"/>
          </w:r>
          <w:r>
            <w:instrText xml:space="preserve"> HYPERLINK \l "_Toc72337770" </w:instrText>
          </w:r>
          <w:r>
            <w:fldChar w:fldCharType="separate"/>
          </w:r>
          <w:r>
            <w:rPr>
              <w:rStyle w:val="18"/>
              <w:rFonts w:asciiTheme="minorEastAsia" w:hAnsiTheme="minorEastAsia" w:eastAsiaTheme="minorEastAsia"/>
              <w:b w:val="0"/>
            </w:rPr>
            <w:t>附件</w:t>
          </w:r>
          <w:r>
            <w:rPr>
              <w:rStyle w:val="18"/>
              <w:rFonts w:asciiTheme="minorEastAsia" w:hAnsiTheme="minorEastAsia" w:eastAsiaTheme="minorEastAsia"/>
              <w:b w:val="0"/>
              <w:lang w:val="en-US"/>
            </w:rPr>
            <w:t>9</w:t>
          </w:r>
          <w:r>
            <w:rPr>
              <w:rStyle w:val="18"/>
              <w:rFonts w:asciiTheme="minorEastAsia" w:hAnsiTheme="minorEastAsia" w:eastAsiaTheme="minorEastAsia"/>
              <w:b w:val="0"/>
            </w:rPr>
            <w:t xml:space="preserve"> 赤壁市乡镇级集中式饮用水水源地突发环境事件情景应急处置措施</w:t>
          </w:r>
          <w:r>
            <w:rPr>
              <w:rFonts w:asciiTheme="minorEastAsia" w:hAnsiTheme="minorEastAsia" w:eastAsiaTheme="minorEastAsia"/>
              <w:b w:val="0"/>
            </w:rPr>
            <w:tab/>
          </w:r>
          <w:r>
            <w:rPr>
              <w:rFonts w:asciiTheme="minorEastAsia" w:hAnsiTheme="minorEastAsia" w:eastAsiaTheme="minorEastAsia"/>
              <w:b w:val="0"/>
            </w:rPr>
            <w:fldChar w:fldCharType="begin"/>
          </w:r>
          <w:r>
            <w:rPr>
              <w:rFonts w:asciiTheme="minorEastAsia" w:hAnsiTheme="minorEastAsia" w:eastAsiaTheme="minorEastAsia"/>
              <w:b w:val="0"/>
            </w:rPr>
            <w:instrText xml:space="preserve"> PAGEREF _Toc72337770 \h </w:instrText>
          </w:r>
          <w:r>
            <w:rPr>
              <w:rFonts w:asciiTheme="minorEastAsia" w:hAnsiTheme="minorEastAsia" w:eastAsiaTheme="minorEastAsia"/>
              <w:b w:val="0"/>
            </w:rPr>
            <w:fldChar w:fldCharType="separate"/>
          </w:r>
          <w:r>
            <w:rPr>
              <w:rFonts w:asciiTheme="minorEastAsia" w:hAnsiTheme="minorEastAsia" w:eastAsiaTheme="minorEastAsia"/>
              <w:b w:val="0"/>
            </w:rPr>
            <w:t>- 67 -</w:t>
          </w:r>
          <w:r>
            <w:rPr>
              <w:rFonts w:asciiTheme="minorEastAsia" w:hAnsiTheme="minorEastAsia" w:eastAsiaTheme="minorEastAsia"/>
              <w:b w:val="0"/>
            </w:rPr>
            <w:fldChar w:fldCharType="end"/>
          </w:r>
          <w:r>
            <w:rPr>
              <w:rFonts w:asciiTheme="minorEastAsia" w:hAnsiTheme="minorEastAsia" w:eastAsiaTheme="minorEastAsia"/>
              <w:b w:val="0"/>
            </w:rPr>
            <w:fldChar w:fldCharType="end"/>
          </w:r>
        </w:p>
        <w:p>
          <w:pPr>
            <w:pStyle w:val="22"/>
            <w:spacing w:line="360" w:lineRule="auto"/>
            <w:jc w:val="center"/>
            <w:rPr>
              <w:rFonts w:ascii="Times New Roman" w:hAnsi="Times New Roman" w:eastAsia="黑体"/>
              <w:b/>
              <w:bCs/>
              <w:color w:val="auto"/>
              <w:sz w:val="36"/>
              <w:szCs w:val="36"/>
            </w:rPr>
          </w:pPr>
          <w:r>
            <w:rPr>
              <w:rFonts w:asciiTheme="minorEastAsia" w:hAnsiTheme="minorEastAsia" w:eastAsiaTheme="minorEastAsia"/>
              <w:bCs/>
              <w:color w:val="auto"/>
              <w:szCs w:val="24"/>
            </w:rPr>
            <w:fldChar w:fldCharType="end"/>
          </w:r>
        </w:p>
      </w:sdtContent>
    </w:sdt>
    <w:p>
      <w:pPr>
        <w:pStyle w:val="22"/>
        <w:jc w:val="center"/>
        <w:rPr>
          <w:rFonts w:ascii="Times New Roman" w:hAnsi="Times New Roman" w:eastAsia="黑体"/>
          <w:b/>
          <w:bCs/>
          <w:color w:val="auto"/>
          <w:sz w:val="36"/>
          <w:szCs w:val="36"/>
        </w:rPr>
      </w:pPr>
    </w:p>
    <w:p>
      <w:pPr>
        <w:pStyle w:val="22"/>
        <w:jc w:val="center"/>
        <w:rPr>
          <w:rFonts w:ascii="Times New Roman" w:hAnsi="Times New Roman" w:eastAsia="黑体"/>
          <w:b/>
          <w:bCs/>
          <w:color w:val="auto"/>
          <w:sz w:val="36"/>
          <w:szCs w:val="36"/>
        </w:rPr>
      </w:pPr>
    </w:p>
    <w:p>
      <w:pPr>
        <w:pStyle w:val="22"/>
        <w:jc w:val="center"/>
        <w:rPr>
          <w:rFonts w:ascii="Times New Roman" w:hAnsi="Times New Roman" w:eastAsia="黑体"/>
          <w:b/>
          <w:bCs/>
          <w:color w:val="auto"/>
          <w:sz w:val="36"/>
          <w:szCs w:val="36"/>
        </w:rPr>
        <w:sectPr>
          <w:headerReference r:id="rId3" w:type="default"/>
          <w:footerReference r:id="rId4" w:type="default"/>
          <w:pgSz w:w="11906" w:h="16838"/>
          <w:pgMar w:top="1440" w:right="1800" w:bottom="1440" w:left="1800" w:header="851" w:footer="992" w:gutter="0"/>
          <w:pgNumType w:fmt="numberInDash" w:start="2"/>
          <w:cols w:space="720" w:num="1"/>
          <w:docGrid w:type="lines" w:linePitch="312" w:charSpace="0"/>
        </w:sectPr>
      </w:pPr>
    </w:p>
    <w:p>
      <w:pPr>
        <w:pStyle w:val="3"/>
        <w:keepNext/>
        <w:keepLines/>
        <w:pageBreakBefore/>
        <w:autoSpaceDE/>
        <w:autoSpaceDN/>
        <w:spacing w:before="340" w:after="330" w:line="576" w:lineRule="auto"/>
        <w:jc w:val="left"/>
        <w:rPr>
          <w:rFonts w:ascii="方正小标宋_GBK" w:hAnsi="方正小标宋_GBK" w:eastAsia="方正小标宋_GBK" w:cs="方正小标宋_GBK"/>
          <w:b w:val="0"/>
          <w:kern w:val="44"/>
          <w:sz w:val="44"/>
          <w:szCs w:val="22"/>
          <w:lang w:val="en-US" w:bidi="ar-SA"/>
        </w:rPr>
      </w:pPr>
      <w:bookmarkStart w:id="0" w:name="_Toc72337708"/>
      <w:r>
        <w:rPr>
          <w:rFonts w:hint="eastAsia"/>
          <w:bCs w:val="0"/>
          <w:kern w:val="44"/>
          <w:sz w:val="44"/>
          <w:szCs w:val="22"/>
          <w:lang w:val="en-US" w:bidi="ar-SA"/>
        </w:rPr>
        <w:t xml:space="preserve">1 </w:t>
      </w:r>
      <w:r>
        <w:rPr>
          <w:rFonts w:hint="eastAsia" w:ascii="方正小标宋_GBK" w:hAnsi="方正小标宋_GBK" w:eastAsia="方正小标宋_GBK" w:cs="方正小标宋_GBK"/>
          <w:b w:val="0"/>
          <w:kern w:val="44"/>
          <w:sz w:val="44"/>
          <w:szCs w:val="22"/>
          <w:lang w:val="en-US" w:bidi="ar-SA"/>
        </w:rPr>
        <w:t>总则</w:t>
      </w:r>
      <w:bookmarkEnd w:id="0"/>
    </w:p>
    <w:p>
      <w:pPr>
        <w:pStyle w:val="4"/>
        <w:autoSpaceDE/>
        <w:autoSpaceDN/>
        <w:jc w:val="both"/>
        <w:rPr>
          <w:rFonts w:ascii="黑体" w:hAnsi="黑体" w:eastAsia="黑体" w:cs="黑体"/>
          <w:b w:val="0"/>
          <w:bCs/>
          <w:lang w:val="en-US" w:bidi="ar-SA"/>
        </w:rPr>
      </w:pPr>
      <w:bookmarkStart w:id="1" w:name="_Toc16106"/>
      <w:bookmarkStart w:id="2" w:name="_Toc72337709"/>
      <w:bookmarkStart w:id="3" w:name="_Toc18916"/>
      <w:r>
        <w:rPr>
          <w:rFonts w:hint="eastAsia" w:ascii="黑体" w:hAnsi="黑体" w:eastAsia="黑体" w:cs="黑体"/>
          <w:b w:val="0"/>
          <w:bCs/>
          <w:lang w:val="en-US" w:bidi="ar-SA"/>
        </w:rPr>
        <w:t>1.1 编制目的</w:t>
      </w:r>
      <w:bookmarkEnd w:id="1"/>
      <w:bookmarkEnd w:id="2"/>
      <w:bookmarkEnd w:id="3"/>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为切实做好赤壁市集中式地表水饮用水水源地突发环境事件风险预警及应急工作，确保供水安全，建立健全应对集中式饮用水水源突发环境事件的应急机制，提高政府应对突发事件的能力，维护社会稳定，保障公众生命健康，高效、有序地组织预防、控制和解除突发事件危机，特制定本预案。</w:t>
      </w:r>
    </w:p>
    <w:p>
      <w:pPr>
        <w:pStyle w:val="4"/>
        <w:autoSpaceDE/>
        <w:autoSpaceDN/>
        <w:jc w:val="both"/>
        <w:rPr>
          <w:rFonts w:ascii="Times New Roman" w:hAnsi="Times New Roman" w:cs="Times New Roman"/>
          <w:lang w:val="en-US" w:bidi="ar-SA"/>
        </w:rPr>
      </w:pPr>
      <w:bookmarkStart w:id="4" w:name="_Toc18276"/>
      <w:bookmarkStart w:id="5" w:name="_Toc72337710"/>
      <w:bookmarkStart w:id="6" w:name="_Toc4256"/>
      <w:r>
        <w:rPr>
          <w:rFonts w:hint="eastAsia" w:ascii="黑体" w:hAnsi="黑体" w:eastAsia="黑体" w:cs="黑体"/>
          <w:b w:val="0"/>
          <w:bCs/>
          <w:lang w:val="en-US" w:bidi="ar-SA"/>
        </w:rPr>
        <w:t xml:space="preserve">1.2 </w:t>
      </w:r>
      <w:r>
        <w:rPr>
          <w:rFonts w:ascii="黑体" w:hAnsi="黑体" w:eastAsia="黑体" w:cs="黑体"/>
          <w:b w:val="0"/>
          <w:bCs/>
          <w:lang w:val="en-US" w:bidi="ar-SA"/>
        </w:rPr>
        <w:t>编制依据</w:t>
      </w:r>
      <w:bookmarkEnd w:id="4"/>
      <w:bookmarkEnd w:id="5"/>
      <w:bookmarkEnd w:id="6"/>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本预案依据《中华人民共和国环境保护法》《中华人民共和国水法》《中华人民共和国水污染防治法》《突发环境事件应急管理办法》《全国环保部门环境应急能力建设标准》、《突发环境事件应急预案管理暂行办法》《湖北省水污染防治条例》《集中式地表水饮用水水源地突发环境事件应急预案编制指南》等相关规定编制。</w:t>
      </w:r>
    </w:p>
    <w:p>
      <w:pPr>
        <w:pStyle w:val="4"/>
        <w:autoSpaceDE/>
        <w:autoSpaceDN/>
        <w:jc w:val="both"/>
        <w:rPr>
          <w:rFonts w:ascii="黑体" w:hAnsi="黑体" w:eastAsia="黑体" w:cs="黑体"/>
          <w:b w:val="0"/>
          <w:bCs/>
          <w:lang w:val="en-US" w:bidi="ar-SA"/>
        </w:rPr>
      </w:pPr>
      <w:bookmarkStart w:id="7" w:name="_Toc72337711"/>
      <w:bookmarkStart w:id="8" w:name="_Toc10274"/>
      <w:bookmarkStart w:id="9" w:name="_Toc3368"/>
      <w:r>
        <w:rPr>
          <w:rFonts w:hint="eastAsia" w:ascii="黑体" w:hAnsi="黑体" w:eastAsia="黑体" w:cs="黑体"/>
          <w:b w:val="0"/>
          <w:bCs/>
          <w:lang w:val="en-US" w:bidi="ar-SA"/>
        </w:rPr>
        <w:t xml:space="preserve">1.3 </w:t>
      </w:r>
      <w:r>
        <w:rPr>
          <w:rFonts w:ascii="黑体" w:hAnsi="黑体" w:eastAsia="黑体" w:cs="黑体"/>
          <w:b w:val="0"/>
          <w:bCs/>
          <w:lang w:val="en-US" w:bidi="ar-SA"/>
        </w:rPr>
        <w:t>适用范围</w:t>
      </w:r>
      <w:bookmarkEnd w:id="7"/>
      <w:bookmarkEnd w:id="8"/>
      <w:bookmarkEnd w:id="9"/>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本预案适用于</w:t>
      </w:r>
      <w:r>
        <w:rPr>
          <w:rFonts w:hint="eastAsia" w:ascii="仿宋_GB2312" w:hAnsi="仿宋_GB2312" w:eastAsia="仿宋_GB2312" w:cs="仿宋_GB2312"/>
          <w:kern w:val="21"/>
          <w:sz w:val="32"/>
          <w:szCs w:val="32"/>
          <w:lang w:val="en-US" w:bidi="ar-SA"/>
        </w:rPr>
        <w:t>赤壁市乡镇集中式饮用水水源地</w:t>
      </w:r>
      <w:r>
        <w:rPr>
          <w:rFonts w:ascii="仿宋_GB2312" w:hAnsi="仿宋_GB2312" w:eastAsia="仿宋_GB2312" w:cs="仿宋_GB2312"/>
          <w:kern w:val="21"/>
          <w:sz w:val="32"/>
          <w:szCs w:val="32"/>
          <w:lang w:val="en-US" w:bidi="ar-SA"/>
        </w:rPr>
        <w:t>因环境污染威胁或造成取水中断的突发事件的预警、控制和应急处置。</w:t>
      </w:r>
    </w:p>
    <w:p>
      <w:pPr>
        <w:pStyle w:val="4"/>
        <w:autoSpaceDE/>
        <w:autoSpaceDN/>
        <w:jc w:val="both"/>
        <w:rPr>
          <w:rFonts w:ascii="黑体" w:hAnsi="黑体" w:eastAsia="黑体" w:cs="黑体"/>
          <w:b w:val="0"/>
          <w:bCs/>
          <w:lang w:val="en-US" w:bidi="ar-SA"/>
        </w:rPr>
      </w:pPr>
      <w:bookmarkStart w:id="10" w:name="_Toc72337712"/>
      <w:bookmarkStart w:id="11" w:name="_Toc28973"/>
      <w:bookmarkStart w:id="12" w:name="_Toc1460"/>
      <w:r>
        <w:rPr>
          <w:rFonts w:hint="eastAsia" w:ascii="黑体" w:hAnsi="黑体" w:eastAsia="黑体" w:cs="黑体"/>
          <w:b w:val="0"/>
          <w:bCs/>
          <w:lang w:val="en-US" w:bidi="ar-SA"/>
        </w:rPr>
        <w:t xml:space="preserve">1.4 </w:t>
      </w:r>
      <w:r>
        <w:rPr>
          <w:rFonts w:ascii="黑体" w:hAnsi="黑体" w:eastAsia="黑体" w:cs="黑体"/>
          <w:b w:val="0"/>
          <w:bCs/>
          <w:lang w:val="en-US" w:bidi="ar-SA"/>
        </w:rPr>
        <w:t>预案衔接</w:t>
      </w:r>
      <w:bookmarkEnd w:id="10"/>
      <w:bookmarkEnd w:id="11"/>
      <w:bookmarkEnd w:id="12"/>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参照《国家突发环境事件应急预案》、《湖北省突发公共事件总体应急预案》、《湖北省环境保护厅突发环境事件应急预案》、《咸宁市突发公共事件总体应急预案》、《咸宁市突发环境事件应急预案》、《咸宁市饮用水水源突发污染事件应急预案》、《</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突发公共事件总体应急预案》等应急预案，结合</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实际，特制定本预案。</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本预案作为政府专项应急预案独立编制，与赤壁市突发环境事件应急预案配套衔接。</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赤壁市境内发生或次生衍生突发环境事件时，突发环境事件污染物迁移到本预案适用范围时，或突发环境事件发生在适用范围内时，启动本预案。污染物即将或已进入水厂（或水务公司）范围时，启动企业级突发环境事件应急预案。当饮用水水源地突发环境事件超出本市应急处置能力时，提请上级政府启动更高层次预案，请求救援支援；协调解决事故现场及外围救护所需的人员、物资、器材装备和救援资金；在做好先期处置的同时及时提请启动本预案。</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赤壁市境内重点企业按照企业突发环境事件应急预案相关要求设置三级风险防控措施，一定程度上将风险物质控制在厂区内。当企业突发环境事件影响范围超出厂界且可能影响本预案饮用水水源地水质时，则应启动本水源地应急预案。现场指挥部权限上交至市人民政府层面，接受其指导。</w:t>
      </w:r>
    </w:p>
    <w:p>
      <w:pPr>
        <w:pStyle w:val="4"/>
        <w:autoSpaceDE/>
        <w:autoSpaceDN/>
        <w:jc w:val="both"/>
        <w:rPr>
          <w:rFonts w:ascii="黑体" w:hAnsi="黑体" w:eastAsia="黑体" w:cs="黑体"/>
          <w:b w:val="0"/>
          <w:bCs/>
          <w:lang w:val="en-US" w:bidi="ar-SA"/>
        </w:rPr>
      </w:pPr>
      <w:bookmarkStart w:id="13" w:name="_Toc12103"/>
      <w:bookmarkStart w:id="14" w:name="_Toc18490"/>
      <w:bookmarkStart w:id="15" w:name="_Toc72337713"/>
      <w:r>
        <w:rPr>
          <w:rFonts w:hint="eastAsia" w:ascii="黑体" w:hAnsi="黑体" w:eastAsia="黑体" w:cs="黑体"/>
          <w:b w:val="0"/>
          <w:bCs/>
          <w:lang w:val="en-US" w:bidi="ar-SA"/>
        </w:rPr>
        <w:t xml:space="preserve">1.5 </w:t>
      </w:r>
      <w:r>
        <w:rPr>
          <w:rFonts w:ascii="黑体" w:hAnsi="黑体" w:eastAsia="黑体" w:cs="黑体"/>
          <w:b w:val="0"/>
          <w:bCs/>
          <w:lang w:val="en-US" w:bidi="ar-SA"/>
        </w:rPr>
        <w:t>工作原则</w:t>
      </w:r>
      <w:bookmarkEnd w:id="13"/>
      <w:bookmarkEnd w:id="14"/>
      <w:bookmarkEnd w:id="15"/>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（1）</w:t>
      </w:r>
      <w:r>
        <w:rPr>
          <w:rFonts w:ascii="仿宋_GB2312" w:hAnsi="仿宋_GB2312" w:eastAsia="仿宋_GB2312" w:cs="仿宋_GB2312"/>
          <w:kern w:val="21"/>
          <w:sz w:val="32"/>
          <w:szCs w:val="32"/>
          <w:lang w:val="en-US" w:bidi="ar-SA"/>
        </w:rPr>
        <w:t>以人为本，积极预防。把保障人民群众生命财产及环境安全作为首要任务，最大限度地减少突发环境事件造成的危害；建立环境事件风险防范体系，加强对危险源和潜在危险源的监督管理，提高环境事件防范和处理能力。</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（2）</w:t>
      </w:r>
      <w:r>
        <w:rPr>
          <w:rFonts w:ascii="仿宋_GB2312" w:hAnsi="仿宋_GB2312" w:eastAsia="仿宋_GB2312" w:cs="仿宋_GB2312"/>
          <w:kern w:val="21"/>
          <w:sz w:val="32"/>
          <w:szCs w:val="32"/>
          <w:lang w:val="en-US" w:bidi="ar-SA"/>
        </w:rPr>
        <w:t>统一领导，分类管理。在</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政府的统一领导下，建立健全部门配合、上下联动的应急响应机制，针对不同原因所造成的突发环境事件的特点，实行分类管理，充分发挥各政府职能部门的专业优势，及时、有效应对突发环境事件。</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（3）</w:t>
      </w:r>
      <w:r>
        <w:rPr>
          <w:rFonts w:ascii="仿宋_GB2312" w:hAnsi="仿宋_GB2312" w:eastAsia="仿宋_GB2312" w:cs="仿宋_GB2312"/>
          <w:kern w:val="21"/>
          <w:sz w:val="32"/>
          <w:szCs w:val="32"/>
          <w:lang w:val="en-US" w:bidi="ar-SA"/>
        </w:rPr>
        <w:t>落实责任，先期处置。</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人民政府统一负责突发环境事件的应对工作。落实生产经营单位的环境安全主体责任，由于生产经营单位原因造成的突发环境事件，生产经营单位应当按照应急预案进行先期处置，并报告当地政府、生态环境部门和相关主管部门。</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（4）</w:t>
      </w:r>
      <w:r>
        <w:rPr>
          <w:rFonts w:ascii="仿宋_GB2312" w:hAnsi="仿宋_GB2312" w:eastAsia="仿宋_GB2312" w:cs="仿宋_GB2312"/>
          <w:kern w:val="21"/>
          <w:sz w:val="32"/>
          <w:szCs w:val="32"/>
          <w:lang w:val="en-US" w:bidi="ar-SA"/>
        </w:rPr>
        <w:t>部门联动，社会参与。建立和完善部门联动机制。有关部门在接到突发环境事件报告后，要及时通报同级生态环境部门；充分发挥部门专业优势，共同应对突发环境事件；实行信息公开，建立社会应急动员机制，充实救援队伍，提高公众自救、互救能力。</w:t>
      </w:r>
    </w:p>
    <w:p>
      <w:pPr>
        <w:autoSpaceDE/>
        <w:autoSpaceDN/>
        <w:spacing w:line="360" w:lineRule="auto"/>
        <w:ind w:firstLine="640" w:firstLineChars="200"/>
        <w:jc w:val="both"/>
        <w:rPr>
          <w:rFonts w:ascii="仿宋_GB2312" w:hAnsi="仿宋_GB2312" w:eastAsia="仿宋_GB2312" w:cs="仿宋_GB2312"/>
          <w:kern w:val="21"/>
          <w:sz w:val="32"/>
          <w:szCs w:val="32"/>
          <w:lang w:bidi="ar-SA"/>
        </w:rPr>
      </w:pPr>
      <w:r>
        <w:rPr>
          <w:rFonts w:hint="eastAsia" w:ascii="仿宋_GB2312" w:hAnsi="仿宋_GB2312" w:eastAsia="仿宋_GB2312" w:cs="仿宋_GB2312"/>
          <w:kern w:val="21"/>
          <w:sz w:val="32"/>
          <w:szCs w:val="32"/>
          <w:lang w:val="en-US" w:bidi="ar-SA"/>
        </w:rPr>
        <w:t>（5）</w:t>
      </w:r>
      <w:r>
        <w:rPr>
          <w:rFonts w:ascii="仿宋_GB2312" w:hAnsi="仿宋_GB2312" w:eastAsia="仿宋_GB2312" w:cs="仿宋_GB2312"/>
          <w:kern w:val="21"/>
          <w:sz w:val="32"/>
          <w:szCs w:val="32"/>
          <w:lang w:val="en-US" w:bidi="ar-SA"/>
        </w:rPr>
        <w:t>依靠科技，规范管理。坚持依靠科技，积极鼓励环境应急相关科研工作，重视环境应急专家队伍建设，努力提高环境应急科技应用水平，建立科学有效的应急机制，使应急管理工作规范化、制度化、法制化。</w:t>
      </w:r>
    </w:p>
    <w:p>
      <w:pPr>
        <w:autoSpaceDE/>
        <w:autoSpaceDN/>
        <w:spacing w:line="360" w:lineRule="auto"/>
        <w:ind w:firstLine="640" w:firstLineChars="200"/>
        <w:jc w:val="both"/>
        <w:rPr>
          <w:rFonts w:ascii="仿宋_GB2312" w:hAnsi="仿宋_GB2312" w:eastAsia="仿宋_GB2312" w:cs="仿宋_GB2312"/>
          <w:kern w:val="21"/>
          <w:sz w:val="32"/>
          <w:szCs w:val="32"/>
          <w:lang w:bidi="ar-SA"/>
        </w:rPr>
      </w:pPr>
      <w:r>
        <w:rPr>
          <w:rFonts w:ascii="仿宋_GB2312" w:hAnsi="仿宋_GB2312" w:eastAsia="仿宋_GB2312" w:cs="仿宋_GB2312"/>
          <w:kern w:val="21"/>
          <w:sz w:val="32"/>
          <w:szCs w:val="32"/>
          <w:lang w:bidi="ar-SA"/>
        </w:rPr>
        <w:t>为了预防和减少突发事件的发生，控制、减轻和消除突发事件引起的严重社会危害，规范突发事件应对活动，保护人民生命财产安全，维护国家安全、公共安全、环境安全和社会秩序，国家于2007年11月1日起执行《中华人民共和国突发事件应对法》，对突发性环境事件的应急措施进行了规定。</w:t>
      </w:r>
    </w:p>
    <w:p>
      <w:pPr>
        <w:autoSpaceDE/>
        <w:autoSpaceDN/>
        <w:spacing w:line="360" w:lineRule="auto"/>
        <w:ind w:firstLine="640" w:firstLineChars="200"/>
        <w:jc w:val="both"/>
        <w:rPr>
          <w:rFonts w:ascii="仿宋_GB2312" w:hAnsi="仿宋_GB2312" w:eastAsia="仿宋_GB2312" w:cs="仿宋_GB2312"/>
          <w:kern w:val="21"/>
          <w:sz w:val="32"/>
          <w:szCs w:val="32"/>
          <w:lang w:bidi="ar-SA"/>
        </w:rPr>
      </w:pPr>
      <w:r>
        <w:rPr>
          <w:rFonts w:ascii="仿宋_GB2312" w:hAnsi="仿宋_GB2312" w:eastAsia="仿宋_GB2312" w:cs="仿宋_GB2312"/>
          <w:kern w:val="21"/>
          <w:sz w:val="32"/>
          <w:szCs w:val="32"/>
          <w:lang w:bidi="ar-SA"/>
        </w:rPr>
        <w:t>2009年11月，国家环保部印发《关于加强环境应急管理工作的意见》（环发〔</w:t>
      </w:r>
      <w:r>
        <w:rPr>
          <w:rFonts w:ascii="仿宋_GB2312" w:hAnsi="仿宋_GB2312" w:eastAsia="仿宋_GB2312" w:cs="仿宋_GB2312"/>
          <w:kern w:val="21"/>
          <w:sz w:val="32"/>
          <w:szCs w:val="32"/>
          <w:lang w:val="en-US" w:bidi="ar-SA"/>
        </w:rPr>
        <w:t>2009</w:t>
      </w:r>
      <w:r>
        <w:rPr>
          <w:rFonts w:ascii="仿宋_GB2312" w:hAnsi="仿宋_GB2312" w:eastAsia="仿宋_GB2312" w:cs="仿宋_GB2312"/>
          <w:kern w:val="21"/>
          <w:sz w:val="32"/>
          <w:szCs w:val="32"/>
          <w:lang w:bidi="ar-SA"/>
        </w:rPr>
        <w:t>〕130号），提出</w:t>
      </w:r>
      <w:r>
        <w:rPr>
          <w:rFonts w:hint="eastAsia" w:ascii="仿宋_GB2312" w:hAnsi="仿宋_GB2312" w:eastAsia="仿宋_GB2312" w:cs="仿宋_GB2312"/>
          <w:kern w:val="21"/>
          <w:sz w:val="32"/>
          <w:szCs w:val="32"/>
          <w:lang w:bidi="ar-SA"/>
        </w:rPr>
        <w:t>“</w:t>
      </w:r>
      <w:r>
        <w:rPr>
          <w:rFonts w:ascii="仿宋_GB2312" w:hAnsi="仿宋_GB2312" w:eastAsia="仿宋_GB2312" w:cs="仿宋_GB2312"/>
          <w:kern w:val="21"/>
          <w:sz w:val="32"/>
          <w:szCs w:val="32"/>
          <w:lang w:bidi="ar-SA"/>
        </w:rPr>
        <w:t>健全突发环境事件应急预案体系；推进环境应急管理体制建设；全面推进环境应急全过程管理，积极防范和妥善应对各类突发环境事件</w:t>
      </w:r>
      <w:r>
        <w:rPr>
          <w:rFonts w:hint="eastAsia" w:ascii="仿宋_GB2312" w:hAnsi="仿宋_GB2312" w:eastAsia="仿宋_GB2312" w:cs="仿宋_GB2312"/>
          <w:kern w:val="21"/>
          <w:sz w:val="32"/>
          <w:szCs w:val="32"/>
          <w:lang w:bidi="ar-SA"/>
        </w:rPr>
        <w:t>”</w:t>
      </w:r>
      <w:r>
        <w:rPr>
          <w:rFonts w:ascii="仿宋_GB2312" w:hAnsi="仿宋_GB2312" w:eastAsia="仿宋_GB2312" w:cs="仿宋_GB2312"/>
          <w:kern w:val="21"/>
          <w:sz w:val="32"/>
          <w:szCs w:val="32"/>
          <w:lang w:bidi="ar-SA"/>
        </w:rPr>
        <w:t>。</w:t>
      </w:r>
    </w:p>
    <w:p>
      <w:pPr>
        <w:autoSpaceDE/>
        <w:autoSpaceDN/>
        <w:spacing w:line="360" w:lineRule="auto"/>
        <w:ind w:firstLine="640" w:firstLineChars="200"/>
        <w:jc w:val="both"/>
        <w:rPr>
          <w:rFonts w:ascii="仿宋_GB2312" w:hAnsi="仿宋_GB2312" w:eastAsia="仿宋_GB2312" w:cs="仿宋_GB2312"/>
          <w:kern w:val="21"/>
          <w:sz w:val="32"/>
          <w:szCs w:val="32"/>
          <w:lang w:bidi="ar-SA"/>
        </w:rPr>
      </w:pPr>
      <w:r>
        <w:rPr>
          <w:rFonts w:ascii="仿宋_GB2312" w:hAnsi="仿宋_GB2312" w:eastAsia="仿宋_GB2312" w:cs="仿宋_GB2312"/>
          <w:kern w:val="21"/>
          <w:sz w:val="32"/>
          <w:szCs w:val="32"/>
          <w:lang w:bidi="ar-SA"/>
        </w:rPr>
        <w:t>2012年3月31日，环保部下达了《集中式饮用水水源环境保护指南（试行）》，其中明确了饮用水源地环境风险源包括固定风险源、流动风险源和其他风险源，并提出了风险管控的相关要求。</w:t>
      </w:r>
    </w:p>
    <w:p>
      <w:pPr>
        <w:autoSpaceDE/>
        <w:autoSpaceDN/>
        <w:spacing w:line="360" w:lineRule="auto"/>
        <w:ind w:firstLine="640" w:firstLineChars="200"/>
        <w:jc w:val="both"/>
        <w:rPr>
          <w:rFonts w:ascii="仿宋_GB2312" w:hAnsi="仿宋_GB2312" w:eastAsia="仿宋_GB2312" w:cs="仿宋_GB2312"/>
          <w:kern w:val="21"/>
          <w:sz w:val="32"/>
          <w:szCs w:val="32"/>
          <w:lang w:bidi="ar-SA"/>
        </w:rPr>
      </w:pPr>
      <w:r>
        <w:rPr>
          <w:rFonts w:ascii="仿宋_GB2312" w:hAnsi="仿宋_GB2312" w:eastAsia="仿宋_GB2312" w:cs="仿宋_GB2312"/>
          <w:kern w:val="21"/>
          <w:sz w:val="32"/>
          <w:szCs w:val="32"/>
          <w:lang w:bidi="ar-SA"/>
        </w:rPr>
        <w:t>2014年4月24日，修订后的《环境保护法》第四十七条规定，</w:t>
      </w:r>
      <w:r>
        <w:rPr>
          <w:rFonts w:hint="eastAsia" w:ascii="仿宋_GB2312" w:hAnsi="仿宋_GB2312" w:eastAsia="仿宋_GB2312" w:cs="仿宋_GB2312"/>
          <w:kern w:val="21"/>
          <w:sz w:val="32"/>
          <w:szCs w:val="32"/>
          <w:lang w:bidi="ar-SA"/>
        </w:rPr>
        <w:t>“</w:t>
      </w:r>
      <w:r>
        <w:rPr>
          <w:rFonts w:ascii="仿宋_GB2312" w:hAnsi="仿宋_GB2312" w:eastAsia="仿宋_GB2312" w:cs="仿宋_GB2312"/>
          <w:kern w:val="21"/>
          <w:sz w:val="32"/>
          <w:szCs w:val="32"/>
          <w:lang w:bidi="ar-SA"/>
        </w:rPr>
        <w:t>各级人民政府及其有关部门和企业事业单位，应当依照《中华人民共和国突发事件应对法》的规定，做好突发环境事件的风险控制、应急准备、应急处置和事后恢复等工作</w:t>
      </w:r>
      <w:r>
        <w:rPr>
          <w:rFonts w:hint="eastAsia" w:ascii="仿宋_GB2312" w:hAnsi="仿宋_GB2312" w:eastAsia="仿宋_GB2312" w:cs="仿宋_GB2312"/>
          <w:kern w:val="21"/>
          <w:sz w:val="32"/>
          <w:szCs w:val="32"/>
          <w:lang w:bidi="ar-SA"/>
        </w:rPr>
        <w:t>”</w:t>
      </w:r>
      <w:r>
        <w:rPr>
          <w:rFonts w:ascii="仿宋_GB2312" w:hAnsi="仿宋_GB2312" w:eastAsia="仿宋_GB2312" w:cs="仿宋_GB2312"/>
          <w:kern w:val="21"/>
          <w:sz w:val="32"/>
          <w:szCs w:val="32"/>
          <w:lang w:bidi="ar-SA"/>
        </w:rPr>
        <w:t>。</w:t>
      </w:r>
    </w:p>
    <w:p>
      <w:pPr>
        <w:autoSpaceDE/>
        <w:autoSpaceDN/>
        <w:spacing w:line="360" w:lineRule="auto"/>
        <w:ind w:firstLine="640" w:firstLineChars="200"/>
        <w:jc w:val="both"/>
        <w:rPr>
          <w:rFonts w:ascii="仿宋_GB2312" w:hAnsi="仿宋_GB2312" w:eastAsia="仿宋_GB2312" w:cs="仿宋_GB2312"/>
          <w:kern w:val="21"/>
          <w:sz w:val="32"/>
          <w:szCs w:val="32"/>
          <w:lang w:bidi="ar-SA"/>
        </w:rPr>
      </w:pPr>
      <w:r>
        <w:rPr>
          <w:rFonts w:ascii="仿宋_GB2312" w:hAnsi="仿宋_GB2312" w:eastAsia="仿宋_GB2312" w:cs="仿宋_GB2312"/>
          <w:kern w:val="21"/>
          <w:sz w:val="32"/>
          <w:szCs w:val="32"/>
          <w:lang w:bidi="ar-SA"/>
        </w:rPr>
        <w:t>2018年4月4日，环境保护部发布了《集中式地表水饮用水水源地突发环境事件应急预案编制指南（试行）》，明确了集中式地表水饮用水水源地突发环境事件应急预案工作内容和方式。</w:t>
      </w:r>
    </w:p>
    <w:p>
      <w:pPr>
        <w:autoSpaceDE/>
        <w:autoSpaceDN/>
        <w:spacing w:line="360" w:lineRule="auto"/>
        <w:ind w:firstLine="640" w:firstLineChars="200"/>
        <w:jc w:val="both"/>
        <w:rPr>
          <w:rFonts w:ascii="仿宋_GB2312" w:hAnsi="仿宋_GB2312" w:eastAsia="仿宋_GB2312" w:cs="仿宋_GB2312"/>
          <w:kern w:val="21"/>
          <w:sz w:val="32"/>
          <w:szCs w:val="32"/>
          <w:lang w:bidi="ar-SA"/>
        </w:rPr>
      </w:pPr>
      <w:r>
        <w:rPr>
          <w:rFonts w:ascii="仿宋_GB2312" w:hAnsi="仿宋_GB2312" w:eastAsia="仿宋_GB2312" w:cs="仿宋_GB2312"/>
          <w:kern w:val="21"/>
          <w:sz w:val="32"/>
          <w:szCs w:val="32"/>
          <w:lang w:bidi="ar-SA"/>
        </w:rPr>
        <w:t>为降低</w:t>
      </w:r>
      <w:r>
        <w:rPr>
          <w:rFonts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bidi="ar-SA"/>
        </w:rPr>
        <w:t>乡镇级集中式饮用水水源地水质因突发环境事件而受到的影响，咸宁市生态环境局</w:t>
      </w:r>
      <w:r>
        <w:rPr>
          <w:rFonts w:ascii="仿宋_GB2312" w:hAnsi="仿宋_GB2312" w:eastAsia="仿宋_GB2312" w:cs="仿宋_GB2312"/>
          <w:kern w:val="21"/>
          <w:sz w:val="32"/>
          <w:szCs w:val="32"/>
          <w:lang w:val="en-US" w:bidi="ar-SA"/>
        </w:rPr>
        <w:t>赤壁</w:t>
      </w:r>
      <w:r>
        <w:rPr>
          <w:rFonts w:ascii="仿宋_GB2312" w:hAnsi="仿宋_GB2312" w:eastAsia="仿宋_GB2312" w:cs="仿宋_GB2312"/>
          <w:kern w:val="21"/>
          <w:sz w:val="32"/>
          <w:szCs w:val="32"/>
          <w:lang w:bidi="ar-SA"/>
        </w:rPr>
        <w:t>分局启动石人泉水库饮用水水源地、白石水库饮用水水源地、燎燃水库饮用水水源地、松柏湖水库饮用水水源地、上矶饮用水水源地、前进水库饮用水水源地、双石水库饮用水水源地、张家坝水库饮用水水源地、皤河饮用水水源地等9个乡镇集中式饮用水水源地突发环境事件应急预案工作。</w:t>
      </w:r>
    </w:p>
    <w:p>
      <w:pPr>
        <w:autoSpaceDE/>
        <w:autoSpaceDN/>
        <w:spacing w:line="360" w:lineRule="auto"/>
        <w:ind w:firstLine="640" w:firstLineChars="200"/>
        <w:jc w:val="both"/>
        <w:rPr>
          <w:rFonts w:ascii="仿宋_GB2312" w:hAnsi="仿宋_GB2312" w:eastAsia="仿宋_GB2312" w:cs="仿宋_GB2312"/>
          <w:kern w:val="21"/>
          <w:sz w:val="32"/>
          <w:szCs w:val="32"/>
          <w:lang w:bidi="ar-SA"/>
        </w:rPr>
      </w:pPr>
      <w:r>
        <w:rPr>
          <w:rFonts w:ascii="仿宋_GB2312" w:hAnsi="仿宋_GB2312" w:eastAsia="仿宋_GB2312" w:cs="仿宋_GB2312"/>
          <w:kern w:val="21"/>
          <w:sz w:val="32"/>
          <w:szCs w:val="32"/>
          <w:lang w:bidi="ar-SA"/>
        </w:rPr>
        <w:t>受咸宁市生态环境局</w:t>
      </w:r>
      <w:r>
        <w:rPr>
          <w:rFonts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bidi="ar-SA"/>
        </w:rPr>
        <w:t>分局委托，</w:t>
      </w:r>
      <w:r>
        <w:rPr>
          <w:rFonts w:ascii="仿宋_GB2312" w:hAnsi="仿宋_GB2312" w:eastAsia="仿宋_GB2312" w:cs="仿宋_GB2312"/>
          <w:kern w:val="21"/>
          <w:sz w:val="32"/>
          <w:szCs w:val="32"/>
          <w:lang w:val="en-US" w:bidi="ar-SA"/>
        </w:rPr>
        <w:t>大容环境湖北有限公司</w:t>
      </w:r>
      <w:r>
        <w:rPr>
          <w:rFonts w:ascii="仿宋_GB2312" w:hAnsi="仿宋_GB2312" w:eastAsia="仿宋_GB2312" w:cs="仿宋_GB2312"/>
          <w:kern w:val="21"/>
          <w:sz w:val="32"/>
          <w:szCs w:val="32"/>
          <w:lang w:bidi="ar-SA"/>
        </w:rPr>
        <w:t>负责对</w:t>
      </w:r>
      <w:r>
        <w:rPr>
          <w:rFonts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bidi="ar-SA"/>
        </w:rPr>
        <w:t>9个乡镇级集中式水源地开展风险评估并编制应急预案。</w:t>
      </w:r>
    </w:p>
    <w:p>
      <w:pPr>
        <w:autoSpaceDE/>
        <w:autoSpaceDN/>
        <w:spacing w:line="360" w:lineRule="auto"/>
        <w:ind w:firstLine="640" w:firstLineChars="200"/>
        <w:jc w:val="both"/>
        <w:rPr>
          <w:rFonts w:ascii="仿宋_GB2312" w:hAnsi="仿宋_GB2312" w:eastAsia="仿宋_GB2312" w:cs="仿宋_GB2312"/>
          <w:kern w:val="21"/>
          <w:sz w:val="32"/>
          <w:szCs w:val="32"/>
          <w:lang w:bidi="ar-SA"/>
        </w:rPr>
        <w:sectPr>
          <w:footerReference r:id="rId5" w:type="default"/>
          <w:pgSz w:w="11906" w:h="16838"/>
          <w:pgMar w:top="1440" w:right="1800" w:bottom="1440" w:left="1800" w:header="851" w:footer="992" w:gutter="0"/>
          <w:pgNumType w:fmt="numberInDash" w:start="5"/>
          <w:cols w:space="720" w:num="1"/>
          <w:docGrid w:type="lines" w:linePitch="312" w:charSpace="0"/>
        </w:sectPr>
      </w:pPr>
    </w:p>
    <w:p>
      <w:pPr>
        <w:pStyle w:val="3"/>
        <w:keepNext/>
        <w:keepLines/>
        <w:pageBreakBefore/>
        <w:autoSpaceDE/>
        <w:autoSpaceDN/>
        <w:spacing w:before="340" w:after="330" w:line="576" w:lineRule="auto"/>
        <w:jc w:val="left"/>
        <w:rPr>
          <w:rFonts w:ascii="方正小标宋_GBK" w:hAnsi="方正小标宋_GBK" w:eastAsia="方正小标宋_GBK" w:cs="方正小标宋_GBK"/>
          <w:b w:val="0"/>
          <w:kern w:val="44"/>
          <w:sz w:val="44"/>
          <w:szCs w:val="22"/>
          <w:lang w:val="en-US" w:bidi="ar-SA"/>
        </w:rPr>
      </w:pPr>
      <w:bookmarkStart w:id="16" w:name="_Toc19000"/>
      <w:bookmarkStart w:id="17" w:name="_Toc11649"/>
      <w:bookmarkStart w:id="18" w:name="_Toc2952"/>
      <w:bookmarkStart w:id="19" w:name="_Toc72337714"/>
      <w:bookmarkStart w:id="20" w:name="_Toc7957"/>
      <w:r>
        <w:rPr>
          <w:rFonts w:ascii="方正小标宋_GBK" w:hAnsi="方正小标宋_GBK" w:eastAsia="方正小标宋_GBK" w:cs="方正小标宋_GBK"/>
          <w:b w:val="0"/>
          <w:kern w:val="44"/>
          <w:sz w:val="44"/>
          <w:szCs w:val="22"/>
          <w:lang w:val="en-US" w:bidi="ar-SA"/>
        </w:rPr>
        <w:t xml:space="preserve">2 </w:t>
      </w:r>
      <w:bookmarkEnd w:id="16"/>
      <w:bookmarkEnd w:id="17"/>
      <w:bookmarkEnd w:id="18"/>
      <w:r>
        <w:rPr>
          <w:rFonts w:hint="eastAsia" w:ascii="方正小标宋_GBK" w:hAnsi="方正小标宋_GBK" w:eastAsia="方正小标宋_GBK" w:cs="方正小标宋_GBK"/>
          <w:b w:val="0"/>
          <w:kern w:val="44"/>
          <w:sz w:val="44"/>
          <w:szCs w:val="22"/>
          <w:lang w:val="en-US" w:bidi="ar-SA"/>
        </w:rPr>
        <w:t>应急组织指挥体系</w:t>
      </w:r>
      <w:bookmarkEnd w:id="19"/>
      <w:bookmarkEnd w:id="20"/>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bookmarkStart w:id="21" w:name="_Toc2566"/>
      <w:bookmarkStart w:id="22" w:name="_Toc25387"/>
      <w:bookmarkStart w:id="23" w:name="_Toc19541"/>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集中式饮用水水源突发环境事件应急组织指挥体系由应急组织指挥机构和现场应急指挥部组成。</w:t>
      </w:r>
    </w:p>
    <w:p>
      <w:pPr>
        <w:pStyle w:val="4"/>
        <w:autoSpaceDE/>
        <w:autoSpaceDN/>
        <w:jc w:val="both"/>
        <w:rPr>
          <w:rFonts w:ascii="黑体" w:hAnsi="黑体" w:eastAsia="黑体" w:cs="黑体"/>
          <w:b w:val="0"/>
          <w:bCs/>
          <w:lang w:val="en-US" w:bidi="ar-SA"/>
        </w:rPr>
      </w:pPr>
      <w:bookmarkStart w:id="24" w:name="_Toc72337715"/>
      <w:bookmarkStart w:id="25" w:name="_Toc7399"/>
      <w:bookmarkStart w:id="26" w:name="_Toc5744"/>
      <w:r>
        <w:rPr>
          <w:rFonts w:hint="eastAsia" w:ascii="黑体" w:hAnsi="黑体" w:eastAsia="黑体" w:cs="黑体"/>
          <w:b w:val="0"/>
          <w:bCs/>
          <w:lang w:val="en-US" w:bidi="ar-SA"/>
        </w:rPr>
        <w:t>2.1 应急组织指挥机构</w:t>
      </w:r>
      <w:bookmarkEnd w:id="24"/>
      <w:bookmarkEnd w:id="25"/>
      <w:bookmarkEnd w:id="26"/>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发生重大、特别重大集中式饮用水水源地突发环境事件时，成立集中式饮用水水源地突发环境事件应急指挥部（以下简称</w:t>
      </w:r>
      <w:r>
        <w:rPr>
          <w:rFonts w:hint="eastAsia" w:ascii="仿宋_GB2312" w:hAnsi="仿宋_GB2312" w:eastAsia="仿宋_GB2312" w:cs="仿宋_GB2312"/>
          <w:kern w:val="21"/>
          <w:sz w:val="32"/>
          <w:szCs w:val="32"/>
          <w:lang w:val="en-US" w:bidi="ar-SA"/>
        </w:rPr>
        <w:t>“</w:t>
      </w:r>
      <w:r>
        <w:rPr>
          <w:rFonts w:ascii="仿宋_GB2312" w:hAnsi="仿宋_GB2312" w:eastAsia="仿宋_GB2312" w:cs="仿宋_GB2312"/>
          <w:kern w:val="21"/>
          <w:sz w:val="32"/>
          <w:szCs w:val="32"/>
          <w:lang w:val="en-US" w:bidi="ar-SA"/>
        </w:rPr>
        <w:t>水环境应急指挥部</w:t>
      </w:r>
      <w:r>
        <w:rPr>
          <w:rFonts w:hint="eastAsia" w:ascii="仿宋_GB2312" w:hAnsi="仿宋_GB2312" w:eastAsia="仿宋_GB2312" w:cs="仿宋_GB2312"/>
          <w:kern w:val="21"/>
          <w:sz w:val="32"/>
          <w:szCs w:val="32"/>
          <w:lang w:val="en-US" w:bidi="ar-SA"/>
        </w:rPr>
        <w:t>”</w:t>
      </w:r>
      <w:r>
        <w:rPr>
          <w:rFonts w:ascii="仿宋_GB2312" w:hAnsi="仿宋_GB2312" w:eastAsia="仿宋_GB2312" w:cs="仿宋_GB2312"/>
          <w:kern w:val="21"/>
          <w:sz w:val="32"/>
          <w:szCs w:val="32"/>
          <w:lang w:val="en-US" w:bidi="ar-SA"/>
        </w:rPr>
        <w:t>）和集中式饮用水水源地突发环境事件应急现场指挥部（以下简称</w:t>
      </w:r>
      <w:r>
        <w:rPr>
          <w:rFonts w:hint="eastAsia" w:ascii="仿宋_GB2312" w:hAnsi="仿宋_GB2312" w:eastAsia="仿宋_GB2312" w:cs="仿宋_GB2312"/>
          <w:kern w:val="21"/>
          <w:sz w:val="32"/>
          <w:szCs w:val="32"/>
          <w:lang w:val="en-US" w:bidi="ar-SA"/>
        </w:rPr>
        <w:t>“</w:t>
      </w:r>
      <w:r>
        <w:rPr>
          <w:rFonts w:ascii="仿宋_GB2312" w:hAnsi="仿宋_GB2312" w:eastAsia="仿宋_GB2312" w:cs="仿宋_GB2312"/>
          <w:kern w:val="21"/>
          <w:sz w:val="32"/>
          <w:szCs w:val="32"/>
          <w:lang w:val="en-US" w:bidi="ar-SA"/>
        </w:rPr>
        <w:t>水环境应急现场指挥部</w:t>
      </w:r>
      <w:r>
        <w:rPr>
          <w:rFonts w:hint="eastAsia" w:ascii="仿宋_GB2312" w:hAnsi="仿宋_GB2312" w:eastAsia="仿宋_GB2312" w:cs="仿宋_GB2312"/>
          <w:kern w:val="21"/>
          <w:sz w:val="32"/>
          <w:szCs w:val="32"/>
          <w:lang w:val="en-US" w:bidi="ar-SA"/>
        </w:rPr>
        <w:t>”</w:t>
      </w:r>
      <w:r>
        <w:rPr>
          <w:rFonts w:ascii="仿宋_GB2312" w:hAnsi="仿宋_GB2312" w:eastAsia="仿宋_GB2312" w:cs="仿宋_GB2312"/>
          <w:kern w:val="21"/>
          <w:sz w:val="32"/>
          <w:szCs w:val="32"/>
          <w:lang w:val="en-US" w:bidi="ar-SA"/>
        </w:rPr>
        <w:t>）。水环境应急指挥部统一领导协调指挥</w:t>
      </w:r>
      <w:r>
        <w:rPr>
          <w:rFonts w:hint="eastAsia" w:ascii="仿宋_GB2312" w:hAnsi="仿宋_GB2312" w:eastAsia="仿宋_GB2312" w:cs="仿宋_GB2312"/>
          <w:kern w:val="21"/>
          <w:sz w:val="32"/>
          <w:szCs w:val="32"/>
          <w:lang w:val="en-US" w:bidi="ar-SA"/>
        </w:rPr>
        <w:t>赤壁市乡镇集中式饮用水水源地</w:t>
      </w:r>
      <w:r>
        <w:rPr>
          <w:rFonts w:ascii="仿宋_GB2312" w:hAnsi="仿宋_GB2312" w:eastAsia="仿宋_GB2312" w:cs="仿宋_GB2312"/>
          <w:kern w:val="21"/>
          <w:sz w:val="32"/>
          <w:szCs w:val="32"/>
          <w:lang w:val="en-US" w:bidi="ar-SA"/>
        </w:rPr>
        <w:t>突发环境事件的应急处置工作。水环境应急指挥部由</w:t>
      </w:r>
      <w:r>
        <w:rPr>
          <w:rFonts w:hint="eastAsia" w:ascii="仿宋_GB2312" w:hAnsi="仿宋_GB2312" w:eastAsia="仿宋_GB2312" w:cs="仿宋_GB2312"/>
          <w:kern w:val="21"/>
          <w:sz w:val="32"/>
          <w:szCs w:val="32"/>
          <w:lang w:val="en-US" w:bidi="ar-SA"/>
        </w:rPr>
        <w:t>常务</w:t>
      </w:r>
      <w:r>
        <w:rPr>
          <w:rFonts w:ascii="仿宋_GB2312" w:hAnsi="仿宋_GB2312" w:eastAsia="仿宋_GB2312" w:cs="仿宋_GB2312"/>
          <w:kern w:val="21"/>
          <w:sz w:val="32"/>
          <w:szCs w:val="32"/>
          <w:lang w:val="en-US" w:bidi="ar-SA"/>
        </w:rPr>
        <w:t>副</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长为指挥长，</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人民政府办公室分管副主任和市生态环境局</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分局局长为副指挥长，其日常工作由其办公室（以下简称</w:t>
      </w:r>
      <w:r>
        <w:rPr>
          <w:rFonts w:hint="eastAsia" w:ascii="仿宋_GB2312" w:hAnsi="仿宋_GB2312" w:eastAsia="仿宋_GB2312" w:cs="仿宋_GB2312"/>
          <w:kern w:val="21"/>
          <w:sz w:val="32"/>
          <w:szCs w:val="32"/>
          <w:lang w:val="en-US" w:bidi="ar-SA"/>
        </w:rPr>
        <w:t>“</w:t>
      </w:r>
      <w:r>
        <w:rPr>
          <w:rFonts w:ascii="仿宋_GB2312" w:hAnsi="仿宋_GB2312" w:eastAsia="仿宋_GB2312" w:cs="仿宋_GB2312"/>
          <w:kern w:val="21"/>
          <w:sz w:val="32"/>
          <w:szCs w:val="32"/>
          <w:lang w:val="en-US" w:bidi="ar-SA"/>
        </w:rPr>
        <w:t>水环境应急办</w:t>
      </w:r>
      <w:r>
        <w:rPr>
          <w:rFonts w:hint="eastAsia" w:ascii="仿宋_GB2312" w:hAnsi="仿宋_GB2312" w:eastAsia="仿宋_GB2312" w:cs="仿宋_GB2312"/>
          <w:kern w:val="21"/>
          <w:sz w:val="32"/>
          <w:szCs w:val="32"/>
          <w:lang w:val="en-US" w:bidi="ar-SA"/>
        </w:rPr>
        <w:t>”</w:t>
      </w:r>
      <w:r>
        <w:rPr>
          <w:rFonts w:ascii="仿宋_GB2312" w:hAnsi="仿宋_GB2312" w:eastAsia="仿宋_GB2312" w:cs="仿宋_GB2312"/>
          <w:kern w:val="21"/>
          <w:sz w:val="32"/>
          <w:szCs w:val="32"/>
          <w:lang w:val="en-US" w:bidi="ar-SA"/>
        </w:rPr>
        <w:t>）负责，水环境应急办挂靠在咸宁市生态环境局</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分局，市生态环境局</w:t>
      </w:r>
      <w:r>
        <w:rPr>
          <w:rFonts w:hint="eastAsia" w:ascii="仿宋_GB2312" w:hAnsi="仿宋_GB2312" w:eastAsia="仿宋_GB2312" w:cs="仿宋_GB2312"/>
          <w:kern w:val="21"/>
          <w:sz w:val="32"/>
          <w:szCs w:val="32"/>
          <w:lang w:val="en-US" w:bidi="ar-SA"/>
        </w:rPr>
        <w:t>赤壁</w:t>
      </w:r>
      <w:r>
        <w:rPr>
          <w:rFonts w:ascii="仿宋_GB2312" w:hAnsi="仿宋_GB2312" w:eastAsia="仿宋_GB2312" w:cs="仿宋_GB2312"/>
          <w:kern w:val="21"/>
          <w:sz w:val="32"/>
          <w:szCs w:val="32"/>
          <w:lang w:val="en-US" w:bidi="ar-SA"/>
        </w:rPr>
        <w:t>分局局长担任办公室主任，指挥部成员单位主要领导作为办公室组成成员和联络员。</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政府</w:t>
      </w:r>
      <w:r>
        <w:rPr>
          <w:rFonts w:hint="eastAsia" w:ascii="仿宋_GB2312" w:hAnsi="仿宋_GB2312" w:eastAsia="仿宋_GB2312" w:cs="仿宋_GB2312"/>
          <w:kern w:val="21"/>
          <w:sz w:val="32"/>
          <w:szCs w:val="32"/>
          <w:lang w:val="en-US" w:bidi="ar-SA"/>
        </w:rPr>
        <w:t>常务</w:t>
      </w:r>
      <w:r>
        <w:rPr>
          <w:rFonts w:ascii="仿宋_GB2312" w:hAnsi="仿宋_GB2312" w:eastAsia="仿宋_GB2312" w:cs="仿宋_GB2312"/>
          <w:kern w:val="21"/>
          <w:sz w:val="32"/>
          <w:szCs w:val="32"/>
          <w:lang w:val="en-US" w:bidi="ar-SA"/>
        </w:rPr>
        <w:t>副</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长在集中式饮用水水源地突发环境事件应急指挥机构中兼任总指挥并负责现场指挥工作，当发生特别重大的突发饮用水水环境事件时，</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长担任总指挥。主要成员单位及职责如下：</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（1）市</w:t>
      </w:r>
      <w:r>
        <w:rPr>
          <w:rFonts w:ascii="仿宋_GB2312" w:hAnsi="仿宋_GB2312" w:eastAsia="仿宋_GB2312" w:cs="仿宋_GB2312"/>
          <w:kern w:val="21"/>
          <w:sz w:val="32"/>
          <w:szCs w:val="32"/>
          <w:lang w:val="en-US" w:bidi="ar-SA"/>
        </w:rPr>
        <w:t>应急管理局：负责应对饮用水突发环境事件中抢险、救援、处置工作及相关物资调集。</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（2）市</w:t>
      </w:r>
      <w:r>
        <w:rPr>
          <w:rFonts w:ascii="仿宋_GB2312" w:hAnsi="仿宋_GB2312" w:eastAsia="仿宋_GB2312" w:cs="仿宋_GB2312"/>
          <w:kern w:val="21"/>
          <w:sz w:val="32"/>
          <w:szCs w:val="32"/>
          <w:lang w:val="en-US" w:bidi="ar-SA"/>
        </w:rPr>
        <w:t>委宣传部：负责组织广播影视、新闻出版单位做好集中式饮用水水源地突发环境事件的相关信息发布和应急宣传工作，准确把握舆论导向，及时做好突发事件舆论引导工作，做好新闻信息发布工作。</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（3）市</w:t>
      </w:r>
      <w:r>
        <w:rPr>
          <w:rFonts w:ascii="仿宋_GB2312" w:hAnsi="仿宋_GB2312" w:eastAsia="仿宋_GB2312" w:cs="仿宋_GB2312"/>
          <w:kern w:val="21"/>
          <w:sz w:val="32"/>
          <w:szCs w:val="32"/>
          <w:lang w:val="en-US" w:bidi="ar-SA"/>
        </w:rPr>
        <w:t>公安局：负责指导、协调、组织饮用水突发环境事件发生地公安机关对涉嫌环境违法犯罪的侦查，危险区域实施治安警戒，维护事发地区的社会治安，做好群众疏散工作，维护当地社会治安和道路交通秩序。</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（4）</w:t>
      </w:r>
      <w:r>
        <w:rPr>
          <w:rFonts w:ascii="仿宋_GB2312" w:hAnsi="仿宋_GB2312" w:eastAsia="仿宋_GB2312" w:cs="仿宋_GB2312"/>
          <w:kern w:val="21"/>
          <w:sz w:val="32"/>
          <w:szCs w:val="32"/>
          <w:lang w:val="en-US" w:bidi="ar-SA"/>
        </w:rPr>
        <w:t>咸宁市生态环境局</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分局：加强饮用水水源地地环境质量、水质监测和污染源的监控，依法发布环境状况公报，实施饮用水水源地地污染防治监督管理；集中式饮用水水源地突发环境事件发生后，做好水质的应急监测工作；协助做好事故调查工作。</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（5）市</w:t>
      </w:r>
      <w:r>
        <w:rPr>
          <w:rFonts w:ascii="仿宋_GB2312" w:hAnsi="仿宋_GB2312" w:eastAsia="仿宋_GB2312" w:cs="仿宋_GB2312"/>
          <w:kern w:val="21"/>
          <w:sz w:val="32"/>
          <w:szCs w:val="32"/>
          <w:lang w:val="en-US" w:bidi="ar-SA"/>
        </w:rPr>
        <w:t>水利和湖泊局：在饮用水水源地突发污染事故时，根据污染程度和生态环境局的意见，协调自来水公司视情况采取停水、减压供水、改路供水、启用备用水源等处置措施；参与相关善后处置等工作。</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（6）市住建局：负责协调和指导管辖的供水企业做好饮用水水源地突发环境事件预警和应急处置相关工作，确保有序供水。</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（7）市</w:t>
      </w:r>
      <w:r>
        <w:rPr>
          <w:rFonts w:ascii="仿宋_GB2312" w:hAnsi="仿宋_GB2312" w:eastAsia="仿宋_GB2312" w:cs="仿宋_GB2312"/>
          <w:kern w:val="21"/>
          <w:sz w:val="32"/>
          <w:szCs w:val="32"/>
          <w:lang w:val="en-US" w:bidi="ar-SA"/>
        </w:rPr>
        <w:t>农业农村局：</w:t>
      </w:r>
      <w:r>
        <w:rPr>
          <w:rFonts w:hint="eastAsia" w:ascii="仿宋_GB2312" w:hAnsi="仿宋_GB2312" w:eastAsia="仿宋_GB2312" w:cs="仿宋_GB2312"/>
          <w:kern w:val="21"/>
          <w:sz w:val="32"/>
          <w:szCs w:val="32"/>
          <w:lang w:val="en-US" w:bidi="ar-SA"/>
        </w:rPr>
        <w:t>负责开展流域内农业非点源污染调查，开展农业非点源污染预防知识和法律宣传。及时对受污染农作物、农产品污染损害程度、范围及经济损失做出鉴定并制定出补救措施；对受污染区域农药、化肥的使用等情况加强监控，减少排放量；对鱼类生态环境的破坏及恢复提出处理意见，并制定相应的处理措施；加强流域内畜禽养殖场废弃物综合利用的指导和服务。</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（8）市</w:t>
      </w:r>
      <w:r>
        <w:rPr>
          <w:rFonts w:ascii="仿宋_GB2312" w:hAnsi="仿宋_GB2312" w:eastAsia="仿宋_GB2312" w:cs="仿宋_GB2312"/>
          <w:kern w:val="21"/>
          <w:sz w:val="32"/>
          <w:szCs w:val="32"/>
          <w:lang w:val="en-US" w:bidi="ar-SA"/>
        </w:rPr>
        <w:t>卫生健康局：负责对饮用水水质进行监测分析，组织协调饮用水突发环境事件应急医疗卫生救援工作，组织医疗机构实施医疗救护和卫生监测、防疫工作，并及时为地方医疗机构提供技术支持。提供涉及饮用水污染所致疾病防治等相关信息。</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（9）市</w:t>
      </w:r>
      <w:r>
        <w:rPr>
          <w:rFonts w:ascii="仿宋_GB2312" w:hAnsi="仿宋_GB2312" w:eastAsia="仿宋_GB2312" w:cs="仿宋_GB2312"/>
          <w:kern w:val="21"/>
          <w:sz w:val="32"/>
          <w:szCs w:val="32"/>
          <w:lang w:val="en-US" w:bidi="ar-SA"/>
        </w:rPr>
        <w:t>监察委员会：参与集中式饮用水水源地突发环境事件的调查工作；对相关部门、单位及其工作人员未按法律、法规规定履行职责的行为，依据党政纪有关规定进行调查处理。</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（10）市</w:t>
      </w:r>
      <w:r>
        <w:rPr>
          <w:rFonts w:ascii="仿宋_GB2312" w:hAnsi="仿宋_GB2312" w:eastAsia="仿宋_GB2312" w:cs="仿宋_GB2312"/>
          <w:kern w:val="21"/>
          <w:sz w:val="32"/>
          <w:szCs w:val="32"/>
          <w:lang w:val="en-US" w:bidi="ar-SA"/>
        </w:rPr>
        <w:t>财政局：根据有关规定安排应急工作所需的通讯和信息化设备、监测仪器、应急规范化设施建设、应急交通工具等经费，确保饮用水突发环境事件预防、监测、处置等工作的正常进行。</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（11）市</w:t>
      </w:r>
      <w:r>
        <w:rPr>
          <w:rFonts w:ascii="仿宋_GB2312" w:hAnsi="仿宋_GB2312" w:eastAsia="仿宋_GB2312" w:cs="仿宋_GB2312"/>
          <w:kern w:val="21"/>
          <w:sz w:val="32"/>
          <w:szCs w:val="32"/>
          <w:lang w:val="en-US" w:bidi="ar-SA"/>
        </w:rPr>
        <w:t>交通运输局：</w:t>
      </w:r>
      <w:r>
        <w:rPr>
          <w:rFonts w:hint="eastAsia" w:ascii="仿宋_GB2312" w:hAnsi="仿宋_GB2312" w:eastAsia="仿宋_GB2312" w:cs="仿宋_GB2312"/>
          <w:kern w:val="21"/>
          <w:sz w:val="32"/>
          <w:szCs w:val="32"/>
          <w:lang w:val="en-US" w:bidi="ar-SA"/>
        </w:rPr>
        <w:t>负责流域内船舶、车辆污染监管，调查处理流域内造成饮用水源突发事件的船舶、车辆污染事故；调动车辆优先安排应急物资和人员疏散的运送。</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（12）市</w:t>
      </w:r>
      <w:r>
        <w:rPr>
          <w:rFonts w:ascii="仿宋_GB2312" w:hAnsi="仿宋_GB2312" w:eastAsia="仿宋_GB2312" w:cs="仿宋_GB2312"/>
          <w:kern w:val="21"/>
          <w:sz w:val="32"/>
          <w:szCs w:val="32"/>
          <w:lang w:val="en-US" w:bidi="ar-SA"/>
        </w:rPr>
        <w:t>气象局：负责卫星遥感分析和气象情况监测，分析气象条件对饮用水水源</w:t>
      </w:r>
      <w:r>
        <w:rPr>
          <w:rFonts w:hint="eastAsia" w:ascii="仿宋_GB2312" w:hAnsi="仿宋_GB2312" w:eastAsia="仿宋_GB2312" w:cs="仿宋_GB2312"/>
          <w:kern w:val="21"/>
          <w:sz w:val="32"/>
          <w:szCs w:val="32"/>
          <w:lang w:val="en-US" w:bidi="ar-SA"/>
        </w:rPr>
        <w:t>地</w:t>
      </w:r>
      <w:r>
        <w:rPr>
          <w:rFonts w:ascii="仿宋_GB2312" w:hAnsi="仿宋_GB2312" w:eastAsia="仿宋_GB2312" w:cs="仿宋_GB2312"/>
          <w:kern w:val="21"/>
          <w:sz w:val="32"/>
          <w:szCs w:val="32"/>
          <w:lang w:val="en-US" w:bidi="ar-SA"/>
        </w:rPr>
        <w:t>水质可能产生的影响，提出水源地水质污染的气象条件预警；根据天气条件组织实施人工影响天气作业，增加水量。</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（13）市</w:t>
      </w:r>
      <w:r>
        <w:rPr>
          <w:rFonts w:ascii="仿宋_GB2312" w:hAnsi="仿宋_GB2312" w:eastAsia="仿宋_GB2312" w:cs="仿宋_GB2312"/>
          <w:kern w:val="21"/>
          <w:sz w:val="32"/>
          <w:szCs w:val="32"/>
          <w:lang w:val="en-US" w:bidi="ar-SA"/>
        </w:rPr>
        <w:t>民政局：负责根据污染事故的危害程度和影响范围，做好生活救援工作，及时发放救援物资，组织指导人员转移、安置和临时生活安排。</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（14）市</w:t>
      </w:r>
      <w:r>
        <w:rPr>
          <w:rFonts w:ascii="仿宋_GB2312" w:hAnsi="仿宋_GB2312" w:eastAsia="仿宋_GB2312" w:cs="仿宋_GB2312"/>
          <w:kern w:val="21"/>
          <w:sz w:val="32"/>
          <w:szCs w:val="32"/>
          <w:lang w:val="en-US" w:bidi="ar-SA"/>
        </w:rPr>
        <w:t>商务局：负责协调集中式饮用水水源地突发污染事件处置基本生活物资的调拨和紧急供应。</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（15）</w:t>
      </w:r>
      <w:r>
        <w:rPr>
          <w:rFonts w:ascii="仿宋_GB2312" w:hAnsi="仿宋_GB2312" w:eastAsia="仿宋_GB2312" w:cs="仿宋_GB2312"/>
          <w:kern w:val="21"/>
          <w:sz w:val="32"/>
          <w:szCs w:val="32"/>
          <w:lang w:val="en-US" w:bidi="ar-SA"/>
        </w:rPr>
        <w:t>各镇人民政府：按照</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应急指挥部统一领导，及时开展辖区内饮用水突发环境事件应急工作。</w:t>
      </w:r>
    </w:p>
    <w:p>
      <w:pPr>
        <w:pStyle w:val="4"/>
        <w:autoSpaceDE/>
        <w:autoSpaceDN/>
        <w:jc w:val="both"/>
        <w:rPr>
          <w:rFonts w:ascii="黑体" w:hAnsi="黑体" w:eastAsia="黑体" w:cs="黑体"/>
          <w:b w:val="0"/>
          <w:bCs/>
          <w:lang w:val="en-US" w:bidi="ar-SA"/>
        </w:rPr>
      </w:pPr>
      <w:bookmarkStart w:id="27" w:name="_Toc3656"/>
      <w:bookmarkStart w:id="28" w:name="_Toc30475"/>
      <w:bookmarkStart w:id="29" w:name="_Toc72337716"/>
      <w:r>
        <w:rPr>
          <w:rFonts w:hint="eastAsia" w:ascii="黑体" w:hAnsi="黑体" w:eastAsia="黑体" w:cs="黑体"/>
          <w:b w:val="0"/>
          <w:bCs/>
          <w:lang w:val="en-US" w:bidi="ar-SA"/>
        </w:rPr>
        <w:t>2.2 现场应急指挥部</w:t>
      </w:r>
      <w:bookmarkEnd w:id="27"/>
      <w:bookmarkEnd w:id="28"/>
      <w:bookmarkEnd w:id="29"/>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在集中式饮用水水源地突发环境事件发生并在启动应急预案后，水环境应急现场指挥部立即组织协调相关力量，按照预案实施应急状态处置工作。</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现场指挥部的主要工作职责如下：</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（1）</w:t>
      </w:r>
      <w:r>
        <w:rPr>
          <w:rFonts w:ascii="仿宋_GB2312" w:hAnsi="仿宋_GB2312" w:eastAsia="仿宋_GB2312" w:cs="仿宋_GB2312"/>
          <w:kern w:val="21"/>
          <w:sz w:val="32"/>
          <w:szCs w:val="32"/>
          <w:lang w:val="en-US" w:bidi="ar-SA"/>
        </w:rPr>
        <w:t>贯彻国家应急工作方针，根据</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政府应急工作原则和方案，组织有关职能部门对事故发生地区进行技术支持和支援。</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（2）</w:t>
      </w:r>
      <w:r>
        <w:rPr>
          <w:rFonts w:ascii="仿宋_GB2312" w:hAnsi="仿宋_GB2312" w:eastAsia="仿宋_GB2312" w:cs="仿宋_GB2312"/>
          <w:kern w:val="21"/>
          <w:sz w:val="32"/>
          <w:szCs w:val="32"/>
          <w:lang w:val="en-US" w:bidi="ar-SA"/>
        </w:rPr>
        <w:t>领导和协调集中式饮用水水源地突发环境事件应急工作，部署</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水环境应急指挥部交办的有关工作。</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（3）</w:t>
      </w:r>
      <w:r>
        <w:rPr>
          <w:rFonts w:ascii="仿宋_GB2312" w:hAnsi="仿宋_GB2312" w:eastAsia="仿宋_GB2312" w:cs="仿宋_GB2312"/>
          <w:kern w:val="21"/>
          <w:sz w:val="32"/>
          <w:szCs w:val="32"/>
          <w:lang w:val="en-US" w:bidi="ar-SA"/>
        </w:rPr>
        <w:t>及时了解掌握集中式饮用水水源地突发环境事件情况，根据情况需要，向</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水环境应急指挥部报告事故情况和提出应急措施的建议。</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（4）</w:t>
      </w:r>
      <w:r>
        <w:rPr>
          <w:rFonts w:ascii="仿宋_GB2312" w:hAnsi="仿宋_GB2312" w:eastAsia="仿宋_GB2312" w:cs="仿宋_GB2312"/>
          <w:kern w:val="21"/>
          <w:sz w:val="32"/>
          <w:szCs w:val="32"/>
          <w:lang w:val="en-US" w:bidi="ar-SA"/>
        </w:rPr>
        <w:t>组织协调指挥部各职能组按照预案迅速开展应急工作，力争将损失降到最低程度。</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（5）</w:t>
      </w:r>
      <w:r>
        <w:rPr>
          <w:rFonts w:ascii="仿宋_GB2312" w:hAnsi="仿宋_GB2312" w:eastAsia="仿宋_GB2312" w:cs="仿宋_GB2312"/>
          <w:kern w:val="21"/>
          <w:sz w:val="32"/>
          <w:szCs w:val="32"/>
          <w:lang w:val="en-US" w:bidi="ar-SA"/>
        </w:rPr>
        <w:t>根据事故发生状态，统一部署应急预案的实施工作，并对应急工作中发生的争议采取紧急处理措施。</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（6）</w:t>
      </w:r>
      <w:r>
        <w:rPr>
          <w:rFonts w:ascii="仿宋_GB2312" w:hAnsi="仿宋_GB2312" w:eastAsia="仿宋_GB2312" w:cs="仿宋_GB2312"/>
          <w:kern w:val="21"/>
          <w:sz w:val="32"/>
          <w:szCs w:val="32"/>
          <w:lang w:val="en-US" w:bidi="ar-SA"/>
        </w:rPr>
        <w:t>在本行政区域内紧急征用各类物资、设备、人员和占用场地，在事故处理后及时归还或给予补偿。做好稳定社会秩序和伤亡人员的善后和安抚工作。</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（7）</w:t>
      </w:r>
      <w:r>
        <w:rPr>
          <w:rFonts w:ascii="仿宋_GB2312" w:hAnsi="仿宋_GB2312" w:eastAsia="仿宋_GB2312" w:cs="仿宋_GB2312"/>
          <w:kern w:val="21"/>
          <w:sz w:val="32"/>
          <w:szCs w:val="32"/>
          <w:lang w:val="en-US" w:bidi="ar-SA"/>
        </w:rPr>
        <w:t>组织事故应急技术研究和应急知识宣传教育等工作。</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（8）</w:t>
      </w:r>
      <w:r>
        <w:rPr>
          <w:rFonts w:ascii="仿宋_GB2312" w:hAnsi="仿宋_GB2312" w:eastAsia="仿宋_GB2312" w:cs="仿宋_GB2312"/>
          <w:kern w:val="21"/>
          <w:sz w:val="32"/>
          <w:szCs w:val="32"/>
          <w:lang w:val="en-US" w:bidi="ar-SA"/>
        </w:rPr>
        <w:t>负责集中式饮用水水源地突发环境事件应急信息的接收、核实、处理、传递、通报、报告，及现场新闻报道的指导、审查工作。</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（9）</w:t>
      </w:r>
      <w:r>
        <w:rPr>
          <w:rFonts w:ascii="仿宋_GB2312" w:hAnsi="仿宋_GB2312" w:eastAsia="仿宋_GB2312" w:cs="仿宋_GB2312"/>
          <w:kern w:val="21"/>
          <w:sz w:val="32"/>
          <w:szCs w:val="32"/>
          <w:lang w:val="en-US" w:bidi="ar-SA"/>
        </w:rPr>
        <w:t>其他有关集中式饮用水水源地突发环境事件应急的重要事项。</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（10）</w:t>
      </w:r>
      <w:r>
        <w:rPr>
          <w:rFonts w:ascii="仿宋_GB2312" w:hAnsi="仿宋_GB2312" w:eastAsia="仿宋_GB2312" w:cs="仿宋_GB2312"/>
          <w:kern w:val="21"/>
          <w:sz w:val="32"/>
          <w:szCs w:val="32"/>
          <w:lang w:val="en-US" w:bidi="ar-SA"/>
        </w:rPr>
        <w:t>如已发生二次危害，立即组织相关部门采取有效措施控制事态发展。</w:t>
      </w:r>
    </w:p>
    <w:p>
      <w:pPr>
        <w:pStyle w:val="4"/>
        <w:autoSpaceDE/>
        <w:autoSpaceDN/>
        <w:jc w:val="both"/>
        <w:rPr>
          <w:rFonts w:ascii="黑体" w:hAnsi="黑体" w:eastAsia="黑体" w:cs="黑体"/>
          <w:b w:val="0"/>
          <w:bCs/>
          <w:lang w:val="en-US" w:bidi="ar-SA"/>
        </w:rPr>
      </w:pPr>
      <w:bookmarkStart w:id="30" w:name="_Toc16889"/>
      <w:bookmarkStart w:id="31" w:name="_Toc72337717"/>
      <w:bookmarkStart w:id="32" w:name="_Toc4580"/>
      <w:r>
        <w:rPr>
          <w:rFonts w:hint="eastAsia" w:ascii="黑体" w:hAnsi="黑体" w:eastAsia="黑体" w:cs="黑体"/>
          <w:b w:val="0"/>
          <w:bCs/>
          <w:lang w:val="en-US" w:bidi="ar-SA"/>
        </w:rPr>
        <w:t>2.3 现场应急工作组</w:t>
      </w:r>
      <w:bookmarkEnd w:id="30"/>
      <w:bookmarkEnd w:id="31"/>
      <w:bookmarkEnd w:id="32"/>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水环境应急现场指挥部根据事件类型及工作需要，设立应急处置组、应急监测组、应急供水保障组、应急物资保障组、应急专家组和综合组。</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（1）</w:t>
      </w:r>
      <w:r>
        <w:rPr>
          <w:rFonts w:ascii="仿宋_GB2312" w:hAnsi="仿宋_GB2312" w:eastAsia="仿宋_GB2312" w:cs="仿宋_GB2312"/>
          <w:kern w:val="21"/>
          <w:sz w:val="32"/>
          <w:szCs w:val="32"/>
          <w:lang w:val="en-US" w:bidi="ar-SA"/>
        </w:rPr>
        <w:t>应急处置组：由咸宁市生态环境局</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分局、</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住建局</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水利和湖泊局、</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农业农村局、</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卫生健康局等部门联合组成，负责制订实施突发环境事件应急救援处置方案，依据各自职责，按照应急救援处置方案开展应急处置工作。</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（2）</w:t>
      </w:r>
      <w:r>
        <w:rPr>
          <w:rFonts w:ascii="仿宋_GB2312" w:hAnsi="仿宋_GB2312" w:eastAsia="仿宋_GB2312" w:cs="仿宋_GB2312"/>
          <w:kern w:val="21"/>
          <w:sz w:val="32"/>
          <w:szCs w:val="32"/>
          <w:lang w:val="en-US" w:bidi="ar-SA"/>
        </w:rPr>
        <w:t>应急监测组：由咸宁市生态环境局</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分局负责牵头，</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水利和湖泊局、</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卫生健康局和</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气象局等部门联合组成。负责对现场开展应急监测工作，分析污染种类和数量及可能造成的影响，判断事件的变化趋势，向现场指挥部提出控制和消除影响的科学建议。其中咸宁市生态环境局</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分局负责饮用水</w:t>
      </w:r>
      <w:r>
        <w:rPr>
          <w:rFonts w:hint="eastAsia" w:ascii="仿宋_GB2312" w:hAnsi="仿宋_GB2312" w:eastAsia="仿宋_GB2312" w:cs="仿宋_GB2312"/>
          <w:kern w:val="21"/>
          <w:sz w:val="32"/>
          <w:szCs w:val="32"/>
          <w:lang w:val="en-US" w:bidi="ar-SA"/>
        </w:rPr>
        <w:t>水源地</w:t>
      </w:r>
      <w:r>
        <w:rPr>
          <w:rFonts w:ascii="仿宋_GB2312" w:hAnsi="仿宋_GB2312" w:eastAsia="仿宋_GB2312" w:cs="仿宋_GB2312"/>
          <w:kern w:val="21"/>
          <w:sz w:val="32"/>
          <w:szCs w:val="32"/>
          <w:lang w:val="en-US" w:bidi="ar-SA"/>
        </w:rPr>
        <w:t>的水质监测和水体污染情况监测，</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水利和湖泊局负责调水通道、饮用水水源</w:t>
      </w:r>
      <w:r>
        <w:rPr>
          <w:rFonts w:hint="eastAsia" w:ascii="仿宋_GB2312" w:hAnsi="仿宋_GB2312" w:eastAsia="仿宋_GB2312" w:cs="仿宋_GB2312"/>
          <w:kern w:val="21"/>
          <w:sz w:val="32"/>
          <w:szCs w:val="32"/>
          <w:lang w:val="en-US" w:bidi="ar-SA"/>
        </w:rPr>
        <w:t>地</w:t>
      </w:r>
      <w:r>
        <w:rPr>
          <w:rFonts w:ascii="仿宋_GB2312" w:hAnsi="仿宋_GB2312" w:eastAsia="仿宋_GB2312" w:cs="仿宋_GB2312"/>
          <w:kern w:val="21"/>
          <w:sz w:val="32"/>
          <w:szCs w:val="32"/>
          <w:lang w:val="en-US" w:bidi="ar-SA"/>
        </w:rPr>
        <w:t>的水量、流向情况的监测，</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住建局负责取水口进出水水质监测，</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卫生健康局负责对集中式供水单位出厂水质和末梢水水质监测，</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气象局负责气象要素的监测。</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（3）</w:t>
      </w:r>
      <w:r>
        <w:rPr>
          <w:rFonts w:ascii="仿宋_GB2312" w:hAnsi="仿宋_GB2312" w:eastAsia="仿宋_GB2312" w:cs="仿宋_GB2312"/>
          <w:kern w:val="21"/>
          <w:sz w:val="32"/>
          <w:szCs w:val="32"/>
          <w:lang w:val="en-US" w:bidi="ar-SA"/>
        </w:rPr>
        <w:t>应急供水保障组：由</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水利和湖泊局负责牵头，督促供水企业落实应急物资和技术储备，在应急期间采取各种应急处置措施，保证出厂水质质量，保障居民饮用水供应。必要时采取停水措施，由</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商务局和</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应急管理局负责组织净水的供应。</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（4）</w:t>
      </w:r>
      <w:r>
        <w:rPr>
          <w:rFonts w:ascii="仿宋_GB2312" w:hAnsi="仿宋_GB2312" w:eastAsia="仿宋_GB2312" w:cs="仿宋_GB2312"/>
          <w:kern w:val="21"/>
          <w:sz w:val="32"/>
          <w:szCs w:val="32"/>
          <w:lang w:val="en-US" w:bidi="ar-SA"/>
        </w:rPr>
        <w:t>应急物资保障组：由民政局负责牵头，</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应急管理局、</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商务局、</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公安局、</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财政局、</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交通运输局等组成。</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民政局负责救援物资发放，</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应急管理局负责相关应急物资调集，</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商务局负责协调基本生活物资的调拨和紧急供应，</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公安局负责维护社会治安、保障道路交通畅通工作，</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财政局负责调拨事件应急体系运行经费，</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交通运输局负责协调应急处置所需的交通运输。</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（5）</w:t>
      </w:r>
      <w:r>
        <w:rPr>
          <w:rFonts w:ascii="仿宋_GB2312" w:hAnsi="仿宋_GB2312" w:eastAsia="仿宋_GB2312" w:cs="仿宋_GB2312"/>
          <w:kern w:val="21"/>
          <w:sz w:val="32"/>
          <w:szCs w:val="32"/>
          <w:lang w:val="en-US" w:bidi="ar-SA"/>
        </w:rPr>
        <w:t>应急专家组：根据需要聘请饮用水水源地安全危机的应急处置专家，分析情况。根据专家的建议，通知相关应急救援力量随时待命，为应急指挥机构提供技术支持；必要时请示上一级应急指挥部调集事发地周边地区专业应急力量实施增援。</w:t>
      </w:r>
    </w:p>
    <w:p>
      <w:pPr>
        <w:autoSpaceDE/>
        <w:autoSpaceDN/>
        <w:spacing w:line="360" w:lineRule="auto"/>
        <w:ind w:firstLine="640" w:firstLineChars="200"/>
        <w:jc w:val="both"/>
        <w:rPr>
          <w:rFonts w:ascii="Times New Roman" w:hAnsi="Times New Roman" w:cs="Times New Roman"/>
          <w:kern w:val="21"/>
          <w:sz w:val="24"/>
          <w:szCs w:val="24"/>
          <w:lang w:val="en-US" w:bidi="ar-SA"/>
        </w:rPr>
      </w:pPr>
      <w:r>
        <w:rPr>
          <w:rFonts w:hint="eastAsia" w:ascii="仿宋_GB2312" w:hAnsi="仿宋_GB2312" w:eastAsia="仿宋_GB2312" w:cs="仿宋_GB2312"/>
          <w:kern w:val="21"/>
          <w:sz w:val="32"/>
          <w:szCs w:val="32"/>
          <w:lang w:val="en-US" w:bidi="ar-SA"/>
        </w:rPr>
        <w:t>（6）</w:t>
      </w:r>
      <w:r>
        <w:rPr>
          <w:rFonts w:ascii="仿宋_GB2312" w:hAnsi="仿宋_GB2312" w:eastAsia="仿宋_GB2312" w:cs="仿宋_GB2312"/>
          <w:kern w:val="21"/>
          <w:sz w:val="32"/>
          <w:szCs w:val="32"/>
          <w:lang w:val="en-US" w:bidi="ar-SA"/>
        </w:rPr>
        <w:t>综合组：由</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委宣传部牵头，</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民政局、</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文体和旅游局、咸宁市生态环境局</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分局、各镇政府等参加，负责协调饮用水水源突发环境污染事件应急处理情况的新闻发布和对公众的宣传教育工作；由</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水环境应急指挥部指定新闻发言人通过媒体和舆论工具及时准确发布事件信息，安定民心，维护</w:t>
      </w:r>
      <w:r>
        <w:rPr>
          <w:rFonts w:hint="eastAsia" w:ascii="仿宋_GB2312" w:hAnsi="仿宋_GB2312" w:eastAsia="仿宋_GB2312" w:cs="仿宋_GB2312"/>
          <w:kern w:val="21"/>
          <w:sz w:val="32"/>
          <w:szCs w:val="32"/>
          <w:lang w:val="en-US" w:bidi="ar-SA"/>
        </w:rPr>
        <w:t>社会稳</w:t>
      </w:r>
      <w:r>
        <w:rPr>
          <w:rFonts w:hint="eastAsia" w:ascii="Times New Roman" w:hAnsi="Times New Roman" w:cs="Times New Roman"/>
          <w:kern w:val="21"/>
          <w:sz w:val="24"/>
          <w:szCs w:val="24"/>
          <w:lang w:val="en-US" w:bidi="ar-SA"/>
        </w:rPr>
        <w:t>定。</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为了便于各个工作组的日常工作，各有关部门应该建立相应的应急处置工作机构作为日常办事机构，由1名分管领导负责，并由分管领导兼任联络员。</w:t>
      </w:r>
    </w:p>
    <w:bookmarkEnd w:id="21"/>
    <w:bookmarkEnd w:id="22"/>
    <w:bookmarkEnd w:id="23"/>
    <w:p>
      <w:pPr>
        <w:pStyle w:val="22"/>
        <w:rPr>
          <w:rFonts w:ascii="Times New Roman" w:hAnsi="Times New Roman"/>
          <w:b/>
          <w:bCs/>
          <w:color w:val="auto"/>
        </w:rPr>
      </w:pPr>
    </w:p>
    <w:p>
      <w:pPr>
        <w:pStyle w:val="22"/>
        <w:rPr>
          <w:rFonts w:ascii="Times New Roman" w:hAnsi="Times New Roman"/>
          <w:b/>
          <w:bCs/>
          <w:color w:val="auto"/>
        </w:rPr>
        <w:sectPr>
          <w:pgSz w:w="11906" w:h="16838"/>
          <w:pgMar w:top="1440" w:right="1800" w:bottom="1440" w:left="1800" w:header="851" w:footer="992" w:gutter="0"/>
          <w:pgNumType w:fmt="numberInDash"/>
          <w:cols w:space="720" w:num="1"/>
          <w:docGrid w:type="lines" w:linePitch="312" w:charSpace="0"/>
        </w:sectPr>
      </w:pPr>
    </w:p>
    <w:p>
      <w:pPr>
        <w:pStyle w:val="3"/>
        <w:keepNext/>
        <w:keepLines/>
        <w:pageBreakBefore/>
        <w:autoSpaceDE/>
        <w:autoSpaceDN/>
        <w:spacing w:before="340" w:after="330" w:line="576" w:lineRule="auto"/>
        <w:jc w:val="left"/>
        <w:rPr>
          <w:rFonts w:ascii="方正小标宋_GBK" w:hAnsi="方正小标宋_GBK" w:eastAsia="方正小标宋_GBK" w:cs="方正小标宋_GBK"/>
          <w:b w:val="0"/>
          <w:kern w:val="44"/>
          <w:sz w:val="44"/>
          <w:szCs w:val="22"/>
          <w:lang w:val="en-US" w:bidi="ar-SA"/>
        </w:rPr>
      </w:pPr>
      <w:bookmarkStart w:id="33" w:name="_Toc23482"/>
      <w:bookmarkStart w:id="34" w:name="_Toc19260"/>
      <w:bookmarkStart w:id="35" w:name="_Toc23051"/>
      <w:bookmarkStart w:id="36" w:name="_Toc6474"/>
      <w:bookmarkStart w:id="37" w:name="_Toc72337718"/>
      <w:r>
        <w:rPr>
          <w:rFonts w:hint="eastAsia" w:ascii="方正小标宋_GBK" w:hAnsi="方正小标宋_GBK" w:eastAsia="方正小标宋_GBK" w:cs="方正小标宋_GBK"/>
          <w:b w:val="0"/>
          <w:kern w:val="44"/>
          <w:sz w:val="44"/>
          <w:szCs w:val="22"/>
          <w:lang w:val="en-US" w:bidi="ar-SA"/>
        </w:rPr>
        <w:t xml:space="preserve">3 </w:t>
      </w:r>
      <w:bookmarkEnd w:id="33"/>
      <w:bookmarkEnd w:id="34"/>
      <w:bookmarkEnd w:id="35"/>
      <w:r>
        <w:rPr>
          <w:rFonts w:hint="eastAsia" w:ascii="方正小标宋_GBK" w:hAnsi="方正小标宋_GBK" w:eastAsia="方正小标宋_GBK" w:cs="方正小标宋_GBK"/>
          <w:b w:val="0"/>
          <w:kern w:val="44"/>
          <w:sz w:val="44"/>
          <w:szCs w:val="22"/>
          <w:lang w:val="en-US" w:bidi="ar-SA"/>
        </w:rPr>
        <w:t>应急响应</w:t>
      </w:r>
      <w:bookmarkEnd w:id="36"/>
      <w:bookmarkEnd w:id="37"/>
    </w:p>
    <w:p>
      <w:pPr>
        <w:pStyle w:val="4"/>
        <w:autoSpaceDE/>
        <w:autoSpaceDN/>
        <w:jc w:val="both"/>
        <w:rPr>
          <w:rFonts w:ascii="黑体" w:hAnsi="黑体" w:eastAsia="黑体" w:cs="黑体"/>
          <w:b w:val="0"/>
          <w:bCs/>
          <w:lang w:val="en-US" w:bidi="ar-SA"/>
        </w:rPr>
      </w:pPr>
      <w:bookmarkStart w:id="38" w:name="_Toc4474"/>
      <w:bookmarkStart w:id="39" w:name="_Toc29709"/>
      <w:bookmarkStart w:id="40" w:name="_Toc72337719"/>
      <w:bookmarkStart w:id="41" w:name="_Toc4728"/>
      <w:bookmarkStart w:id="42" w:name="_Toc3570"/>
      <w:bookmarkStart w:id="43" w:name="_Toc10668"/>
      <w:bookmarkStart w:id="44" w:name="_Toc1697"/>
      <w:r>
        <w:rPr>
          <w:rFonts w:hint="eastAsia" w:ascii="黑体" w:hAnsi="黑体" w:eastAsia="黑体" w:cs="黑体"/>
          <w:b w:val="0"/>
          <w:bCs/>
          <w:lang w:val="en-US" w:bidi="ar-SA"/>
        </w:rPr>
        <w:t>3.1 信息收集与研判</w:t>
      </w:r>
      <w:bookmarkEnd w:id="38"/>
      <w:bookmarkEnd w:id="39"/>
      <w:bookmarkEnd w:id="40"/>
    </w:p>
    <w:p>
      <w:pPr>
        <w:pStyle w:val="4"/>
        <w:autoSpaceDE/>
        <w:autoSpaceDN/>
        <w:jc w:val="both"/>
        <w:rPr>
          <w:rFonts w:ascii="黑体" w:hAnsi="黑体" w:eastAsia="黑体" w:cs="黑体"/>
          <w:b w:val="0"/>
          <w:bCs/>
          <w:lang w:val="en-US" w:bidi="ar-SA"/>
        </w:rPr>
      </w:pPr>
      <w:bookmarkStart w:id="45" w:name="_Toc10852"/>
      <w:bookmarkStart w:id="46" w:name="_Toc72337720"/>
      <w:bookmarkStart w:id="47" w:name="_Toc31544"/>
      <w:r>
        <w:rPr>
          <w:rFonts w:hint="eastAsia" w:ascii="黑体" w:hAnsi="黑体" w:eastAsia="黑体" w:cs="黑体"/>
          <w:b w:val="0"/>
          <w:bCs/>
          <w:lang w:val="en-US" w:bidi="ar-SA"/>
        </w:rPr>
        <w:t>3.3.</w:t>
      </w:r>
      <w:r>
        <w:rPr>
          <w:rFonts w:ascii="黑体" w:hAnsi="黑体" w:eastAsia="黑体" w:cs="黑体"/>
          <w:b w:val="0"/>
          <w:bCs/>
          <w:lang w:val="en-US" w:bidi="ar-SA"/>
        </w:rPr>
        <w:t>1</w:t>
      </w:r>
      <w:r>
        <w:rPr>
          <w:rFonts w:hint="eastAsia" w:ascii="黑体" w:hAnsi="黑体" w:eastAsia="黑体" w:cs="黑体"/>
          <w:b w:val="0"/>
          <w:bCs/>
          <w:lang w:val="en-US" w:bidi="ar-SA"/>
        </w:rPr>
        <w:t xml:space="preserve"> 信息收集</w:t>
      </w:r>
      <w:bookmarkEnd w:id="45"/>
      <w:bookmarkEnd w:id="46"/>
      <w:bookmarkEnd w:id="47"/>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集中式饮用水水源地突发环境事件应坚持预防为主，早发现、早报告、早处置的原则</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政府及相关部门应建立集中式饮用水</w:t>
      </w:r>
      <w:r>
        <w:rPr>
          <w:rFonts w:hint="eastAsia" w:ascii="仿宋_GB2312" w:hAnsi="仿宋_GB2312" w:eastAsia="仿宋_GB2312" w:cs="仿宋_GB2312"/>
          <w:kern w:val="21"/>
          <w:sz w:val="32"/>
          <w:szCs w:val="32"/>
          <w:lang w:val="en-US" w:bidi="ar-SA"/>
        </w:rPr>
        <w:t>水源地</w:t>
      </w:r>
      <w:r>
        <w:rPr>
          <w:rFonts w:ascii="仿宋_GB2312" w:hAnsi="仿宋_GB2312" w:eastAsia="仿宋_GB2312" w:cs="仿宋_GB2312"/>
          <w:kern w:val="21"/>
          <w:sz w:val="32"/>
          <w:szCs w:val="32"/>
          <w:lang w:val="en-US" w:bidi="ar-SA"/>
        </w:rPr>
        <w:t>突发环境事件信息收集与共享渠道，组织通过集中饮用水水源地地或水厂常规水质监督性监测与在线监测、集成水文气象、地形地貌、污染排放、防护措施等渠道收集信息，开展水质快速预测预警；密切关注水源地周围水域水质变化，上游水域或陆域生产、运输工程中发生重大有毒有害物质泄漏、污染，人为破坏造成水源水质污染等可能导致饮用水水源地突发环境事件的早期信息，及时进行综合分析和风险评估，切实做好预测预警工作。</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信息来源包括但不限于以下途径：</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（1）市</w:t>
      </w:r>
      <w:r>
        <w:rPr>
          <w:rFonts w:ascii="仿宋_GB2312" w:hAnsi="仿宋_GB2312" w:eastAsia="仿宋_GB2312" w:cs="仿宋_GB2312"/>
          <w:kern w:val="21"/>
          <w:sz w:val="32"/>
          <w:szCs w:val="32"/>
          <w:lang w:val="en-US" w:bidi="ar-SA"/>
        </w:rPr>
        <w:t>人民政府，生态环境、住房城乡建设、水利等部门， 通过流域、水源地或供水单位开展的水质监督性监测（常规断面）、在线监测（常规和预警监控断面）等日常监管渠道获取水质异常信息，或通过水文气象、地质灾害、污染源排放等信息开展水质 预测预警，获取水质异常信息。另外，水厂日常监测过程中也可能获取水质异常信息。</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（2）</w:t>
      </w:r>
      <w:r>
        <w:rPr>
          <w:rFonts w:ascii="仿宋_GB2312" w:hAnsi="仿宋_GB2312" w:eastAsia="仿宋_GB2312" w:cs="仿宋_GB2312"/>
          <w:kern w:val="21"/>
          <w:sz w:val="32"/>
          <w:szCs w:val="32"/>
          <w:lang w:val="en-US" w:bidi="ar-SA"/>
        </w:rPr>
        <w:t>咸宁市生态环境局</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分局通过水源地上游及周边主要风险源监控获取异常排放信息，也可通过123</w:t>
      </w:r>
      <w:r>
        <w:rPr>
          <w:rFonts w:hint="eastAsia" w:ascii="仿宋_GB2312" w:hAnsi="仿宋_GB2312" w:eastAsia="仿宋_GB2312" w:cs="仿宋_GB2312"/>
          <w:kern w:val="21"/>
          <w:sz w:val="32"/>
          <w:szCs w:val="32"/>
          <w:lang w:val="en-US" w:bidi="ar-SA"/>
        </w:rPr>
        <w:t>45</w:t>
      </w:r>
      <w:r>
        <w:rPr>
          <w:rFonts w:ascii="仿宋_GB2312" w:hAnsi="仿宋_GB2312" w:eastAsia="仿宋_GB2312" w:cs="仿宋_GB2312"/>
          <w:kern w:val="21"/>
          <w:sz w:val="32"/>
          <w:szCs w:val="32"/>
          <w:lang w:val="en-US" w:bidi="ar-SA"/>
        </w:rPr>
        <w:t>热线、网络等途径获取突发环境事件信息；公安交通部门可通过交通事故报警获取流动源事故信息；水利部门可通过对河流藻密度变化情况的监测，获取水华事件信息。</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（3）</w:t>
      </w:r>
      <w:r>
        <w:rPr>
          <w:rFonts w:ascii="仿宋_GB2312" w:hAnsi="仿宋_GB2312" w:eastAsia="仿宋_GB2312" w:cs="仿宋_GB2312"/>
          <w:kern w:val="21"/>
          <w:sz w:val="32"/>
          <w:szCs w:val="32"/>
          <w:lang w:val="en-US" w:bidi="ar-SA"/>
        </w:rPr>
        <w:t>通过</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人民政府不同部门之间、上下游相邻行政区域政府之间、市级政府与</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级政府建立的信息收集与共享渠道，获取突发环境事件信息。</w:t>
      </w:r>
    </w:p>
    <w:p>
      <w:pPr>
        <w:pStyle w:val="4"/>
        <w:autoSpaceDE/>
        <w:autoSpaceDN/>
        <w:jc w:val="both"/>
        <w:rPr>
          <w:rFonts w:ascii="黑体" w:hAnsi="黑体" w:eastAsia="黑体" w:cs="黑体"/>
          <w:b w:val="0"/>
          <w:bCs/>
          <w:lang w:val="en-US" w:bidi="ar-SA"/>
        </w:rPr>
      </w:pPr>
      <w:bookmarkStart w:id="48" w:name="_Toc72337721"/>
      <w:bookmarkStart w:id="49" w:name="_Toc3779"/>
      <w:bookmarkStart w:id="50" w:name="_Toc14649"/>
      <w:r>
        <w:rPr>
          <w:rFonts w:hint="eastAsia" w:ascii="黑体" w:hAnsi="黑体" w:eastAsia="黑体" w:cs="黑体"/>
          <w:b w:val="0"/>
          <w:bCs/>
          <w:lang w:val="en-US" w:bidi="ar-SA"/>
        </w:rPr>
        <w:t>3.1.2 信息研判与会商</w:t>
      </w:r>
      <w:bookmarkEnd w:id="48"/>
      <w:bookmarkEnd w:id="49"/>
      <w:bookmarkEnd w:id="50"/>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通过日常监管渠道首次发现水质异常或群众举报、责任单位报告等获取突发事件信息的部门，应第一时间开展以下工作。</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（1）</w:t>
      </w:r>
      <w:r>
        <w:rPr>
          <w:rFonts w:ascii="仿宋_GB2312" w:hAnsi="仿宋_GB2312" w:eastAsia="仿宋_GB2312" w:cs="仿宋_GB2312"/>
          <w:kern w:val="21"/>
          <w:sz w:val="32"/>
          <w:szCs w:val="32"/>
          <w:lang w:val="en-US" w:bidi="ar-SA"/>
        </w:rPr>
        <w:t>核实信息的真实性。</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（2）</w:t>
      </w:r>
      <w:r>
        <w:rPr>
          <w:rFonts w:ascii="仿宋_GB2312" w:hAnsi="仿宋_GB2312" w:eastAsia="仿宋_GB2312" w:cs="仿宋_GB2312"/>
          <w:kern w:val="21"/>
          <w:sz w:val="32"/>
          <w:szCs w:val="32"/>
          <w:lang w:val="en-US" w:bidi="ar-SA"/>
        </w:rPr>
        <w:t>进一步收集信息，必要时通报有关部门共同开展信息收集工作。</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（3）</w:t>
      </w:r>
      <w:r>
        <w:rPr>
          <w:rFonts w:ascii="仿宋_GB2312" w:hAnsi="仿宋_GB2312" w:eastAsia="仿宋_GB2312" w:cs="仿宋_GB2312"/>
          <w:kern w:val="21"/>
          <w:sz w:val="32"/>
          <w:szCs w:val="32"/>
          <w:lang w:val="en-US" w:bidi="ar-SA"/>
        </w:rPr>
        <w:t>将有关信息报告</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人民政府。</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接到信息报告的人民政府应立即组织有关部门及应急专家进行会商，研判水质变化趋势，若判断可能对水源地水质造成影响，应立即成立现场应急指挥部。</w:t>
      </w:r>
    </w:p>
    <w:p>
      <w:pPr>
        <w:pStyle w:val="4"/>
        <w:autoSpaceDE/>
        <w:autoSpaceDN/>
        <w:jc w:val="both"/>
        <w:rPr>
          <w:rFonts w:ascii="黑体" w:hAnsi="黑体" w:eastAsia="黑体" w:cs="黑体"/>
          <w:b w:val="0"/>
          <w:bCs/>
          <w:lang w:val="en-US" w:bidi="ar-SA"/>
        </w:rPr>
      </w:pPr>
      <w:bookmarkStart w:id="51" w:name="_Toc72337722"/>
      <w:bookmarkStart w:id="52" w:name="_Toc11617"/>
      <w:bookmarkStart w:id="53" w:name="_Toc19137"/>
      <w:r>
        <w:rPr>
          <w:rFonts w:hint="eastAsia" w:ascii="黑体" w:hAnsi="黑体" w:eastAsia="黑体" w:cs="黑体"/>
          <w:b w:val="0"/>
          <w:bCs/>
          <w:lang w:val="en-US" w:bidi="ar-SA"/>
        </w:rPr>
        <w:t>3.2 预警</w:t>
      </w:r>
      <w:bookmarkEnd w:id="51"/>
      <w:bookmarkEnd w:id="52"/>
      <w:bookmarkEnd w:id="53"/>
    </w:p>
    <w:p>
      <w:pPr>
        <w:pStyle w:val="4"/>
        <w:autoSpaceDE/>
        <w:autoSpaceDN/>
        <w:jc w:val="both"/>
        <w:rPr>
          <w:rFonts w:ascii="黑体" w:hAnsi="黑体" w:eastAsia="黑体" w:cs="黑体"/>
          <w:b w:val="0"/>
          <w:bCs/>
          <w:lang w:val="en-US" w:bidi="ar-SA"/>
        </w:rPr>
      </w:pPr>
      <w:bookmarkStart w:id="54" w:name="_Toc72337723"/>
      <w:bookmarkStart w:id="55" w:name="_Toc3167"/>
      <w:bookmarkStart w:id="56" w:name="_Toc14360"/>
      <w:r>
        <w:rPr>
          <w:rFonts w:hint="eastAsia" w:ascii="黑体" w:hAnsi="黑体" w:eastAsia="黑体" w:cs="黑体"/>
          <w:b w:val="0"/>
          <w:bCs/>
          <w:lang w:val="en-US" w:bidi="ar-SA"/>
        </w:rPr>
        <w:t>3.2.1 预警分级</w:t>
      </w:r>
      <w:bookmarkEnd w:id="54"/>
      <w:bookmarkEnd w:id="55"/>
      <w:bookmarkEnd w:id="56"/>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根据《集中式地表水饮用水水源地突发环境事件应急预案编制指南（试行）》，将预案分为橙色预警、红色预警。</w:t>
      </w:r>
    </w:p>
    <w:p>
      <w:pPr>
        <w:autoSpaceDE/>
        <w:autoSpaceDN/>
        <w:spacing w:line="360" w:lineRule="auto"/>
        <w:ind w:firstLine="643"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b/>
          <w:bCs/>
          <w:kern w:val="21"/>
          <w:sz w:val="32"/>
          <w:szCs w:val="32"/>
          <w:lang w:val="en-US" w:bidi="ar-SA"/>
        </w:rPr>
        <w:t>橙色预警</w:t>
      </w:r>
      <w:r>
        <w:rPr>
          <w:rFonts w:hint="eastAsia" w:ascii="仿宋_GB2312" w:hAnsi="仿宋_GB2312" w:eastAsia="仿宋_GB2312" w:cs="仿宋_GB2312"/>
          <w:kern w:val="21"/>
          <w:sz w:val="32"/>
          <w:szCs w:val="32"/>
          <w:lang w:val="en-US" w:bidi="ar-SA"/>
        </w:rPr>
        <w:t>：当水源地上游发生污染事故，污染物可能迁移进入水源地二级保护区范围内或上游连接水体，但应急专家组研判认为对水源地水质影响可能较小、可能不影响取水。</w:t>
      </w:r>
    </w:p>
    <w:p>
      <w:pPr>
        <w:autoSpaceDE/>
        <w:autoSpaceDN/>
        <w:spacing w:line="360" w:lineRule="auto"/>
        <w:ind w:firstLine="643"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b/>
          <w:bCs/>
          <w:kern w:val="21"/>
          <w:sz w:val="32"/>
          <w:szCs w:val="32"/>
          <w:lang w:val="en-US" w:bidi="ar-SA"/>
        </w:rPr>
        <w:t>红色预警</w:t>
      </w:r>
      <w:r>
        <w:rPr>
          <w:rFonts w:hint="eastAsia" w:ascii="仿宋_GB2312" w:hAnsi="仿宋_GB2312" w:eastAsia="仿宋_GB2312" w:cs="仿宋_GB2312"/>
          <w:kern w:val="21"/>
          <w:sz w:val="32"/>
          <w:szCs w:val="32"/>
          <w:lang w:val="en-US" w:bidi="ar-SA"/>
        </w:rPr>
        <w:t>：当污染物迁移至水源地二级保护区范围内或其上游连接水体，且应急专家组研判认为对水源地水质影响可能较大时、可能影响取水时。</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发布橙色预警时，采取预警行动同时应启动本级应急预案，应急指挥权由本预案中的现场应急指挥部行使；发布红色预警时，在采取预警行动的同时，应启动应急措施并将应急指挥权分别移交给市、省级人民政府组成的临时应急指挥部，接受其领导指挥。</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若某地点发生突发环境污染事件，应立即采取预警行动，预警级别根据现场情况由现场应急指挥部确定。</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饮用水水源地突发环境事件响应坚持属地为主的原则，市政府按照有关规定全面负责辖区内饮用水水源地突发环境事件应急处置工作，特殊饮用水水源地突发环境事件需要市生态环境局及市政府相关部门给予协调支援的，及时上报请求协调支援。</w:t>
      </w:r>
    </w:p>
    <w:p>
      <w:pPr>
        <w:pStyle w:val="5"/>
        <w:autoSpaceDE/>
        <w:autoSpaceDN/>
        <w:spacing w:before="260" w:after="260" w:line="413" w:lineRule="auto"/>
        <w:jc w:val="both"/>
        <w:rPr>
          <w:rFonts w:ascii="黑体" w:hAnsi="黑体" w:eastAsia="黑体" w:cs="黑体"/>
          <w:b w:val="0"/>
          <w:bCs/>
          <w:sz w:val="32"/>
          <w:szCs w:val="22"/>
          <w:lang w:val="en-US" w:bidi="ar-SA"/>
        </w:rPr>
      </w:pPr>
      <w:bookmarkStart w:id="57" w:name="_Toc9395"/>
      <w:bookmarkStart w:id="58" w:name="_Toc72337724"/>
      <w:bookmarkStart w:id="59" w:name="_Toc15502"/>
      <w:r>
        <w:rPr>
          <w:rFonts w:hint="eastAsia" w:ascii="黑体" w:hAnsi="黑体" w:eastAsia="黑体" w:cs="黑体"/>
          <w:b w:val="0"/>
          <w:bCs/>
          <w:sz w:val="32"/>
          <w:szCs w:val="22"/>
          <w:lang w:val="en-US" w:bidi="ar-SA"/>
        </w:rPr>
        <w:t>3.2.2 发布预警和预警级别调整</w:t>
      </w:r>
      <w:bookmarkEnd w:id="57"/>
      <w:bookmarkEnd w:id="58"/>
      <w:bookmarkEnd w:id="59"/>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按照集中式饮用水水源地突发环境事件的紧急程度、发展态势或可能造成的危害程度，突发环境事件分为二级，预警级别由低到高，颜色依次为橙色、红色，当污染物迁移至水源地风险防控范围，但水源保护区或其连接水体尚未受到污染，或是污染物已进入水源保护区上游连接水体，但应急专家组研判认为对水源地水质影响可能较小、可能不影响取水时，为橙色预警；当污染物已进入（或出现在）水源保护区或其上游连接水体，且应急专家组研判认为对水源地水质影响可能较大时、可能影响取水时，为红色预警。根据事态的发展情况和采取的措施的效果，预警颜色可以升级、降级或解除。</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Ⅰ级（红色）预警由</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水环境应急指挥部报请咸宁市政府确认后发布。</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Ⅱ级（橙色）预警由</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水环境应急指挥部报请</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政府确认并按有关规定和程序发布。</w:t>
      </w:r>
    </w:p>
    <w:p>
      <w:pPr>
        <w:pStyle w:val="5"/>
        <w:autoSpaceDE/>
        <w:autoSpaceDN/>
        <w:spacing w:before="260" w:after="260" w:line="413" w:lineRule="auto"/>
        <w:jc w:val="both"/>
        <w:rPr>
          <w:rFonts w:ascii="黑体" w:hAnsi="黑体" w:eastAsia="黑体" w:cs="黑体"/>
          <w:b w:val="0"/>
          <w:bCs/>
          <w:sz w:val="32"/>
          <w:szCs w:val="22"/>
          <w:lang w:val="en-US" w:bidi="ar-SA"/>
        </w:rPr>
      </w:pPr>
      <w:bookmarkStart w:id="60" w:name="_Toc72337725"/>
      <w:bookmarkStart w:id="61" w:name="_Toc30824"/>
      <w:bookmarkStart w:id="62" w:name="_Toc17597"/>
      <w:r>
        <w:rPr>
          <w:rFonts w:hint="eastAsia" w:ascii="黑体" w:hAnsi="黑体" w:eastAsia="黑体" w:cs="黑体"/>
          <w:b w:val="0"/>
          <w:bCs/>
          <w:sz w:val="32"/>
          <w:szCs w:val="22"/>
          <w:lang w:val="en-US" w:bidi="ar-SA"/>
        </w:rPr>
        <w:t>3.2.3 预警行动</w:t>
      </w:r>
      <w:bookmarkEnd w:id="60"/>
      <w:bookmarkEnd w:id="61"/>
      <w:bookmarkEnd w:id="62"/>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预警信息发布后，</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人民政府和有关部门应视事件情况和可能产生的影响，采取预警行动。一般情况下，发布红色预警时，现场应急指挥部的总指挥应当到达现场，组织开展应急响应工作。在发布预警信息、进入预警状态后，应采取以下预警行动：</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（1）</w:t>
      </w:r>
      <w:r>
        <w:rPr>
          <w:rFonts w:ascii="仿宋_GB2312" w:hAnsi="仿宋_GB2312" w:eastAsia="仿宋_GB2312" w:cs="仿宋_GB2312"/>
          <w:kern w:val="21"/>
          <w:sz w:val="32"/>
          <w:szCs w:val="32"/>
          <w:lang w:val="en-US" w:bidi="ar-SA"/>
        </w:rPr>
        <w:t>应急指挥中心下达启动水源地应急预案的命令。</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（2）</w:t>
      </w:r>
      <w:r>
        <w:rPr>
          <w:rFonts w:ascii="仿宋_GB2312" w:hAnsi="仿宋_GB2312" w:eastAsia="仿宋_GB2312" w:cs="仿宋_GB2312"/>
          <w:kern w:val="21"/>
          <w:sz w:val="32"/>
          <w:szCs w:val="32"/>
          <w:lang w:val="en-US" w:bidi="ar-SA"/>
        </w:rPr>
        <w:t>通知现场应急指挥部中的有关单位和人员做好应急准备，进入待命状态，必要时到达现场开展相关工作。</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（3）</w:t>
      </w:r>
      <w:r>
        <w:rPr>
          <w:rFonts w:ascii="仿宋_GB2312" w:hAnsi="仿宋_GB2312" w:eastAsia="仿宋_GB2312" w:cs="仿宋_GB2312"/>
          <w:kern w:val="21"/>
          <w:sz w:val="32"/>
          <w:szCs w:val="32"/>
          <w:lang w:val="en-US" w:bidi="ar-SA"/>
        </w:rPr>
        <w:t>通知水源地对应的供水单位进入待命状态，做好停止取水、深度处理、低压供水或启动备用水源等准备。</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（4）</w:t>
      </w:r>
      <w:r>
        <w:rPr>
          <w:rFonts w:ascii="仿宋_GB2312" w:hAnsi="仿宋_GB2312" w:eastAsia="仿宋_GB2312" w:cs="仿宋_GB2312"/>
          <w:kern w:val="21"/>
          <w:sz w:val="32"/>
          <w:szCs w:val="32"/>
          <w:lang w:val="en-US" w:bidi="ar-SA"/>
        </w:rPr>
        <w:t>加强信息监控，核实突发环境事件污染来源、进入水体的污染物种类和总量、污染扩散范围等信息。</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（5）</w:t>
      </w:r>
      <w:r>
        <w:rPr>
          <w:rFonts w:ascii="仿宋_GB2312" w:hAnsi="仿宋_GB2312" w:eastAsia="仿宋_GB2312" w:cs="仿宋_GB2312"/>
          <w:kern w:val="21"/>
          <w:sz w:val="32"/>
          <w:szCs w:val="32"/>
          <w:lang w:val="en-US" w:bidi="ar-SA"/>
        </w:rPr>
        <w:t>通知应急监测组开展应急监测或做好应急监测准备。</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（6）</w:t>
      </w:r>
      <w:r>
        <w:rPr>
          <w:rFonts w:ascii="仿宋_GB2312" w:hAnsi="仿宋_GB2312" w:eastAsia="仿宋_GB2312" w:cs="仿宋_GB2312"/>
          <w:kern w:val="21"/>
          <w:sz w:val="32"/>
          <w:szCs w:val="32"/>
          <w:lang w:val="en-US" w:bidi="ar-SA"/>
        </w:rPr>
        <w:t>做好事件信息上报和通报。</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（7）</w:t>
      </w:r>
      <w:r>
        <w:rPr>
          <w:rFonts w:ascii="仿宋_GB2312" w:hAnsi="仿宋_GB2312" w:eastAsia="仿宋_GB2312" w:cs="仿宋_GB2312"/>
          <w:kern w:val="21"/>
          <w:sz w:val="32"/>
          <w:szCs w:val="32"/>
          <w:lang w:val="en-US" w:bidi="ar-SA"/>
        </w:rPr>
        <w:t>通知</w:t>
      </w:r>
      <w:r>
        <w:rPr>
          <w:rFonts w:hint="eastAsia" w:ascii="仿宋_GB2312" w:hAnsi="仿宋_GB2312" w:eastAsia="仿宋_GB2312" w:cs="仿宋_GB2312"/>
          <w:kern w:val="21"/>
          <w:sz w:val="32"/>
          <w:szCs w:val="32"/>
          <w:lang w:val="en-US" w:bidi="ar-SA"/>
        </w:rPr>
        <w:t>应急物资</w:t>
      </w:r>
      <w:r>
        <w:rPr>
          <w:rFonts w:ascii="仿宋_GB2312" w:hAnsi="仿宋_GB2312" w:eastAsia="仿宋_GB2312" w:cs="仿宋_GB2312"/>
          <w:kern w:val="21"/>
          <w:sz w:val="32"/>
          <w:szCs w:val="32"/>
          <w:lang w:val="en-US" w:bidi="ar-SA"/>
        </w:rPr>
        <w:t>保障组调集所需应急物资和设备，做好应急保障。</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（8）</w:t>
      </w:r>
      <w:r>
        <w:rPr>
          <w:rFonts w:ascii="仿宋_GB2312" w:hAnsi="仿宋_GB2312" w:eastAsia="仿宋_GB2312" w:cs="仿宋_GB2312"/>
          <w:kern w:val="21"/>
          <w:sz w:val="32"/>
          <w:szCs w:val="32"/>
          <w:lang w:val="en-US" w:bidi="ar-SA"/>
        </w:rPr>
        <w:t>在危险区域设置提示或警告标志。</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（9）</w:t>
      </w:r>
      <w:r>
        <w:rPr>
          <w:rFonts w:ascii="仿宋_GB2312" w:hAnsi="仿宋_GB2312" w:eastAsia="仿宋_GB2312" w:cs="仿宋_GB2312"/>
          <w:kern w:val="21"/>
          <w:sz w:val="32"/>
          <w:szCs w:val="32"/>
          <w:lang w:val="en-US" w:bidi="ar-SA"/>
        </w:rPr>
        <w:t>必要时，及时通过媒体向公众发布信息。</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（10）</w:t>
      </w:r>
      <w:r>
        <w:rPr>
          <w:rFonts w:ascii="仿宋_GB2312" w:hAnsi="仿宋_GB2312" w:eastAsia="仿宋_GB2312" w:cs="仿宋_GB2312"/>
          <w:kern w:val="21"/>
          <w:sz w:val="32"/>
          <w:szCs w:val="32"/>
          <w:lang w:val="en-US" w:bidi="ar-SA"/>
        </w:rPr>
        <w:t>加强舆情监测、引导和应对工作。</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bookmarkStart w:id="63" w:name="_Toc20154"/>
      <w:bookmarkStart w:id="64" w:name="_Toc7447"/>
      <w:r>
        <w:rPr>
          <w:rFonts w:hint="eastAsia" w:ascii="仿宋_GB2312" w:hAnsi="仿宋_GB2312" w:eastAsia="仿宋_GB2312" w:cs="仿宋_GB2312"/>
          <w:kern w:val="21"/>
          <w:sz w:val="32"/>
          <w:szCs w:val="32"/>
          <w:lang w:val="en-US" w:bidi="ar-SA"/>
        </w:rPr>
        <w:t>3.2.4 预警解除</w:t>
      </w:r>
      <w:bookmarkEnd w:id="63"/>
      <w:bookmarkEnd w:id="64"/>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当有事实证明不可能发生水源地突发环境事件或者判断危险已经解除的，由</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应急指挥部宣布解除预警，终止应急响应措施符合下列情形之一的，可终止应急响应。</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（1）</w:t>
      </w:r>
      <w:r>
        <w:rPr>
          <w:rFonts w:ascii="仿宋_GB2312" w:hAnsi="仿宋_GB2312" w:eastAsia="仿宋_GB2312" w:cs="仿宋_GB2312"/>
          <w:kern w:val="21"/>
          <w:sz w:val="32"/>
          <w:szCs w:val="32"/>
          <w:lang w:val="en-US" w:bidi="ar-SA"/>
        </w:rPr>
        <w:t>进入水源保护区陆域范围的污染物已成功围堵，且清运至水源保护区外，未向水域扩散时。</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（2）</w:t>
      </w:r>
      <w:r>
        <w:rPr>
          <w:rFonts w:ascii="仿宋_GB2312" w:hAnsi="仿宋_GB2312" w:eastAsia="仿宋_GB2312" w:cs="仿宋_GB2312"/>
          <w:kern w:val="21"/>
          <w:sz w:val="32"/>
          <w:szCs w:val="32"/>
          <w:lang w:val="en-US" w:bidi="ar-SA"/>
        </w:rPr>
        <w:t>进入水源保护区水域范围的污染团已成功拦截或导流至水源保护区外，没有向取水口扩散的风险，且水质监测结果稳定达标。</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（3）</w:t>
      </w:r>
      <w:r>
        <w:rPr>
          <w:rFonts w:ascii="仿宋_GB2312" w:hAnsi="仿宋_GB2312" w:eastAsia="仿宋_GB2312" w:cs="仿宋_GB2312"/>
          <w:kern w:val="21"/>
          <w:sz w:val="32"/>
          <w:szCs w:val="32"/>
          <w:lang w:val="en-US" w:bidi="ar-SA"/>
        </w:rPr>
        <w:t>水质监测结果尚未稳定达标，但根据应急专家组建议可恢复正常取水时。</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预警解除通过广播、电视、报刊、通信、信息网络、报警器、宣传车或组织人员通知住户等方式进行，对老、幼、病、残、孕等特殊人群和报警盲</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应当采取有针对性的公告方式。</w:t>
      </w:r>
    </w:p>
    <w:p>
      <w:pPr>
        <w:pStyle w:val="4"/>
        <w:autoSpaceDE/>
        <w:autoSpaceDN/>
        <w:jc w:val="both"/>
        <w:rPr>
          <w:rFonts w:ascii="黑体" w:hAnsi="黑体" w:eastAsia="黑体" w:cs="黑体"/>
          <w:b w:val="0"/>
          <w:bCs/>
          <w:lang w:val="en-US" w:bidi="ar-SA"/>
        </w:rPr>
      </w:pPr>
      <w:bookmarkStart w:id="65" w:name="_Toc17128"/>
      <w:bookmarkStart w:id="66" w:name="_Toc19080"/>
      <w:bookmarkStart w:id="67" w:name="_Toc72337726"/>
      <w:r>
        <w:rPr>
          <w:rFonts w:hint="eastAsia" w:ascii="黑体" w:hAnsi="黑体" w:eastAsia="黑体" w:cs="黑体"/>
          <w:b w:val="0"/>
          <w:bCs/>
          <w:lang w:val="en-US" w:bidi="ar-SA"/>
        </w:rPr>
        <w:t>3.3 信息报告与通报</w:t>
      </w:r>
      <w:bookmarkEnd w:id="65"/>
      <w:bookmarkEnd w:id="66"/>
      <w:bookmarkEnd w:id="67"/>
    </w:p>
    <w:p>
      <w:pPr>
        <w:pStyle w:val="4"/>
        <w:autoSpaceDE/>
        <w:autoSpaceDN/>
        <w:jc w:val="both"/>
        <w:rPr>
          <w:rFonts w:ascii="黑体" w:hAnsi="黑体" w:eastAsia="黑体" w:cs="黑体"/>
          <w:b w:val="0"/>
          <w:bCs/>
          <w:lang w:val="en-US" w:bidi="ar-SA"/>
        </w:rPr>
      </w:pPr>
      <w:bookmarkStart w:id="68" w:name="_Toc32417"/>
      <w:bookmarkStart w:id="69" w:name="_Toc17196"/>
      <w:bookmarkStart w:id="70" w:name="_Toc72337727"/>
      <w:r>
        <w:rPr>
          <w:rFonts w:hint="eastAsia" w:ascii="黑体" w:hAnsi="黑体" w:eastAsia="黑体" w:cs="黑体"/>
          <w:b w:val="0"/>
          <w:bCs/>
          <w:lang w:val="en-US" w:bidi="ar-SA"/>
        </w:rPr>
        <w:t>3.3.1 信息报告程序</w:t>
      </w:r>
      <w:bookmarkEnd w:id="68"/>
      <w:bookmarkEnd w:id="69"/>
      <w:bookmarkEnd w:id="70"/>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发现已经造成或可能造成水源地污染的有关人员和责任单位，应立即向</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人民政府应急组织指挥机构及</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生态环境等部门报告。</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若咸宁市人民政府主管部门先于</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人民政府主管部门获悉水源地突发环境事件信息的，要求</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人民政府主管部门核实并报告相应的信息。</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特殊情况下，若遇到敏感事件或发生在重点地</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、特殊时期，或可能演化为重大、特别重大突发环境事件的信息，有关责任单位和部门应立即向</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人民政府应急组织指挥机构报告。</w:t>
      </w:r>
    </w:p>
    <w:p>
      <w:pPr>
        <w:pStyle w:val="5"/>
        <w:autoSpaceDE/>
        <w:autoSpaceDN/>
        <w:spacing w:before="260" w:after="260" w:line="413" w:lineRule="auto"/>
        <w:jc w:val="both"/>
        <w:rPr>
          <w:rFonts w:ascii="黑体" w:hAnsi="黑体" w:eastAsia="黑体" w:cs="黑体"/>
          <w:b w:val="0"/>
          <w:bCs/>
          <w:sz w:val="32"/>
          <w:szCs w:val="22"/>
          <w:lang w:val="en-US" w:bidi="ar-SA"/>
        </w:rPr>
      </w:pPr>
      <w:bookmarkStart w:id="71" w:name="_Toc7182"/>
      <w:bookmarkStart w:id="72" w:name="_Toc72337728"/>
      <w:bookmarkStart w:id="73" w:name="_Toc22169"/>
      <w:r>
        <w:rPr>
          <w:rFonts w:hint="eastAsia" w:ascii="黑体" w:hAnsi="黑体" w:eastAsia="黑体" w:cs="黑体"/>
          <w:b w:val="0"/>
          <w:bCs/>
          <w:sz w:val="32"/>
          <w:szCs w:val="22"/>
          <w:lang w:val="en-US" w:bidi="ar-SA"/>
        </w:rPr>
        <w:t>3.3.2 信息通报程序</w:t>
      </w:r>
      <w:bookmarkEnd w:id="71"/>
      <w:bookmarkEnd w:id="72"/>
      <w:bookmarkEnd w:id="73"/>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对经核实的水源地突发环境事件，生态环境部门应向同级人民政府和有关部门通报。通报的部门至少应包括应急管理、水利和湖泊、卫生健康等部门；根据水源地突发环境事件的类型和情景，还应通报消防救援（遇火灾事故）、交通运输（遇道路、水上运输事故）、公安（遇火灾爆炸、道路运输事故）等部门。</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水源地突发环境事件已经或者可能涉及相邻行政区域的，事件发生地人民政府及有关部门应当及时通报相邻区域同级人民政府和有关部门。</w:t>
      </w:r>
    </w:p>
    <w:p>
      <w:pPr>
        <w:pStyle w:val="5"/>
        <w:autoSpaceDE/>
        <w:autoSpaceDN/>
        <w:spacing w:before="260" w:after="260" w:line="413" w:lineRule="auto"/>
        <w:jc w:val="both"/>
        <w:rPr>
          <w:rFonts w:ascii="黑体" w:hAnsi="黑体" w:eastAsia="黑体" w:cs="黑体"/>
          <w:b w:val="0"/>
          <w:bCs/>
          <w:sz w:val="32"/>
          <w:szCs w:val="22"/>
          <w:lang w:val="en-US" w:bidi="ar-SA"/>
        </w:rPr>
      </w:pPr>
      <w:bookmarkStart w:id="74" w:name="_Toc14313"/>
      <w:bookmarkStart w:id="75" w:name="_Toc29046"/>
      <w:bookmarkStart w:id="76" w:name="_Toc72337729"/>
      <w:r>
        <w:rPr>
          <w:rFonts w:hint="eastAsia" w:ascii="黑体" w:hAnsi="黑体" w:eastAsia="黑体" w:cs="黑体"/>
          <w:b w:val="0"/>
          <w:bCs/>
          <w:sz w:val="32"/>
          <w:szCs w:val="22"/>
          <w:lang w:val="en-US" w:bidi="ar-SA"/>
        </w:rPr>
        <w:t>3.3.3 信息报告和通报内容</w:t>
      </w:r>
      <w:bookmarkEnd w:id="74"/>
      <w:bookmarkEnd w:id="75"/>
      <w:bookmarkEnd w:id="76"/>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按照不同的时间节点，水源地突发环境事件报告分为初报、续报和处理结果报告。初报是发现或得知突发环境事件后的首次报告；续报是查清有关基本情况、事件发展情况后的报告，可随时报告；处理结果报告是突发环境事件处理完毕后的报告。</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初报应报告水源地突发环境事件的发生时间、地点、信息来源、事件起因和性质、基本过程、主要污染物和数量、监测结果、人员伤亡情况、水源地受影响情况、事件发展趋势、处置情况、拟采取的措施以及下一步工作建议等初步情况。</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续报应在初报的基础上，报告事件及有关处置措施的进展情况。</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处理结果报告应在初报、续报的基础上，报告突发环境事件的处置措施、过程和结果等详细情况。</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可采用传真、网络、邮寄或面呈等方式书面报告，情况紧急时，可通过电话报告，但应及时补充书面报告。书面报告应说明突发环境事件报告单位、报告签发人、联系人及联系电话等内容，并尽可能提供地图、图片以及有关的多媒体资料。</w:t>
      </w:r>
    </w:p>
    <w:p>
      <w:pPr>
        <w:pStyle w:val="4"/>
        <w:autoSpaceDE/>
        <w:autoSpaceDN/>
        <w:jc w:val="both"/>
        <w:rPr>
          <w:rFonts w:ascii="黑体" w:hAnsi="黑体" w:eastAsia="黑体" w:cs="黑体"/>
          <w:b w:val="0"/>
          <w:bCs/>
          <w:lang w:val="en-US" w:bidi="ar-SA"/>
        </w:rPr>
      </w:pPr>
      <w:bookmarkStart w:id="77" w:name="_Toc25600"/>
      <w:bookmarkStart w:id="78" w:name="_Toc72337730"/>
      <w:bookmarkStart w:id="79" w:name="_Toc11261"/>
      <w:r>
        <w:rPr>
          <w:rFonts w:hint="eastAsia" w:ascii="黑体" w:hAnsi="黑体" w:eastAsia="黑体" w:cs="黑体"/>
          <w:b w:val="0"/>
          <w:bCs/>
          <w:lang w:val="en-US" w:bidi="ar-SA"/>
        </w:rPr>
        <w:t>3.4 事态研判</w:t>
      </w:r>
      <w:bookmarkEnd w:id="77"/>
      <w:bookmarkEnd w:id="78"/>
      <w:bookmarkEnd w:id="79"/>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发布预警后，由现场应急指挥部总指挥按照水源地应急预案中列明的副总指挥、协调办公室、专项工作组成员及名单</w:t>
      </w:r>
      <w:r>
        <w:rPr>
          <w:rFonts w:hint="eastAsia" w:ascii="仿宋_GB2312" w:hAnsi="仿宋_GB2312" w:eastAsia="仿宋_GB2312" w:cs="仿宋_GB2312"/>
          <w:kern w:val="21"/>
          <w:sz w:val="32"/>
          <w:szCs w:val="32"/>
          <w:lang w:val="en-US" w:bidi="ar-SA"/>
        </w:rPr>
        <w:t>，</w:t>
      </w:r>
      <w:r>
        <w:rPr>
          <w:rFonts w:ascii="仿宋_GB2312" w:hAnsi="仿宋_GB2312" w:eastAsia="仿宋_GB2312" w:cs="仿宋_GB2312"/>
          <w:kern w:val="21"/>
          <w:sz w:val="32"/>
          <w:szCs w:val="32"/>
          <w:lang w:val="en-US" w:bidi="ar-SA"/>
        </w:rPr>
        <w:t>迅速组建参加应急指挥的各个工作组，跟踪开展事态研判。</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事态研判包括以下内容：事故点下游沿河水利设施工程情况、判断污染物进入河流的数量及种类性质、事故点下游水系分布（包括清洁水情况）、距离水源地取水口的距离和可能对水源地造成的危害，以及备用水源地情况。</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事态研判的结果，作为制定和动态调整应急响应有关方案、实施应急监测、污染源排查与处置和应急处置的重要基础。</w:t>
      </w:r>
    </w:p>
    <w:p>
      <w:pPr>
        <w:pStyle w:val="4"/>
        <w:autoSpaceDE/>
        <w:autoSpaceDN/>
        <w:jc w:val="both"/>
        <w:rPr>
          <w:rFonts w:ascii="黑体" w:hAnsi="黑体" w:eastAsia="黑体" w:cs="黑体"/>
          <w:b w:val="0"/>
          <w:bCs/>
          <w:lang w:val="en-US" w:bidi="ar-SA"/>
        </w:rPr>
      </w:pPr>
      <w:bookmarkStart w:id="80" w:name="_Toc16576"/>
      <w:bookmarkStart w:id="81" w:name="_Toc72337731"/>
      <w:bookmarkStart w:id="82" w:name="_Toc18231"/>
      <w:r>
        <w:rPr>
          <w:rFonts w:hint="eastAsia" w:ascii="黑体" w:hAnsi="黑体" w:eastAsia="黑体" w:cs="黑体"/>
          <w:b w:val="0"/>
          <w:bCs/>
          <w:lang w:val="en-US" w:bidi="ar-SA"/>
        </w:rPr>
        <w:t>3.5 应急监测</w:t>
      </w:r>
      <w:bookmarkEnd w:id="80"/>
      <w:bookmarkEnd w:id="81"/>
      <w:bookmarkEnd w:id="82"/>
    </w:p>
    <w:p>
      <w:pPr>
        <w:pStyle w:val="4"/>
        <w:autoSpaceDE/>
        <w:autoSpaceDN/>
        <w:jc w:val="both"/>
        <w:rPr>
          <w:rFonts w:ascii="黑体" w:hAnsi="黑体" w:eastAsia="黑体" w:cs="黑体"/>
          <w:b w:val="0"/>
          <w:bCs/>
          <w:lang w:val="en-US" w:bidi="ar-SA"/>
        </w:rPr>
      </w:pPr>
      <w:bookmarkStart w:id="83" w:name="_Toc29648"/>
      <w:bookmarkStart w:id="84" w:name="_Toc72337732"/>
      <w:bookmarkStart w:id="85" w:name="_Toc17507"/>
      <w:r>
        <w:rPr>
          <w:rFonts w:hint="eastAsia" w:ascii="黑体" w:hAnsi="黑体" w:eastAsia="黑体" w:cs="黑体"/>
          <w:b w:val="0"/>
          <w:bCs/>
          <w:lang w:val="en-US" w:bidi="ar-SA"/>
        </w:rPr>
        <w:t>3.5.1 开展应急监测的程序</w:t>
      </w:r>
      <w:bookmarkEnd w:id="83"/>
      <w:bookmarkEnd w:id="84"/>
      <w:bookmarkEnd w:id="85"/>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事件处置初期，实施应急监测的部门按照现场应急指挥部命令，根据现场实际情况制定监测方案、设置监测点位（断面）、确定监测频次、组织开展监测、形成监测报告，第一时间向现场应急指挥部报告监测结果和污染浓度变化态势图，并安排人员对突发环境事件监测情况进行全过程记录。</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事件处置中期，根据事态发展，如上游来水量、应急处置措施效果等情况，适时调整监测点位（断面）和监测频次。</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事件处置末期，按照现场应急指挥部命令，停止应急监测，并向现场应急指挥部提交应急监测总结报告。</w:t>
      </w:r>
    </w:p>
    <w:p>
      <w:pPr>
        <w:pStyle w:val="5"/>
        <w:autoSpaceDE/>
        <w:autoSpaceDN/>
        <w:spacing w:before="260" w:after="260" w:line="413" w:lineRule="auto"/>
        <w:jc w:val="both"/>
        <w:rPr>
          <w:rFonts w:ascii="黑体" w:hAnsi="黑体" w:eastAsia="黑体" w:cs="黑体"/>
          <w:b w:val="0"/>
          <w:bCs/>
          <w:sz w:val="32"/>
          <w:szCs w:val="22"/>
          <w:lang w:val="en-US" w:bidi="ar-SA"/>
        </w:rPr>
      </w:pPr>
      <w:bookmarkStart w:id="86" w:name="_Toc1338"/>
      <w:bookmarkStart w:id="87" w:name="_Toc1768"/>
      <w:bookmarkStart w:id="88" w:name="_Toc72337733"/>
      <w:r>
        <w:rPr>
          <w:rFonts w:hint="eastAsia" w:ascii="黑体" w:hAnsi="黑体" w:eastAsia="黑体" w:cs="黑体"/>
          <w:b w:val="0"/>
          <w:bCs/>
          <w:sz w:val="32"/>
          <w:szCs w:val="22"/>
          <w:lang w:val="en-US" w:bidi="ar-SA"/>
        </w:rPr>
        <w:t>3.5.2 制定应急监测方案</w:t>
      </w:r>
      <w:bookmarkEnd w:id="86"/>
      <w:bookmarkEnd w:id="87"/>
      <w:bookmarkEnd w:id="88"/>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应急监测重点是抓住污染带前锋、峰值位置和浓度变化，对污染带移动过程形成动态监控。当污染来源不明时，先通过应急监测确定特征污染物成份，再进行污染源排查和先期处置。</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集中式饮用水源突发环境事件的应急监测由咸宁市生态环境局</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分局牵头，市气象局及</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水利</w:t>
      </w:r>
      <w:r>
        <w:rPr>
          <w:rFonts w:hint="eastAsia" w:ascii="仿宋_GB2312" w:hAnsi="仿宋_GB2312" w:eastAsia="仿宋_GB2312" w:cs="仿宋_GB2312"/>
          <w:kern w:val="21"/>
          <w:sz w:val="32"/>
          <w:szCs w:val="32"/>
          <w:lang w:val="en-US" w:bidi="ar-SA"/>
        </w:rPr>
        <w:t>和湖泊</w:t>
      </w:r>
      <w:r>
        <w:rPr>
          <w:rFonts w:ascii="仿宋_GB2312" w:hAnsi="仿宋_GB2312" w:eastAsia="仿宋_GB2312" w:cs="仿宋_GB2312"/>
          <w:kern w:val="21"/>
          <w:sz w:val="32"/>
          <w:szCs w:val="32"/>
          <w:lang w:val="en-US" w:bidi="ar-SA"/>
        </w:rPr>
        <w:t>局等组成，负责组织协调污染水域环境实时的应急监测；城市供水水质的应急监测由市住建局、</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卫</w:t>
      </w:r>
      <w:r>
        <w:rPr>
          <w:rFonts w:hint="eastAsia" w:ascii="仿宋_GB2312" w:hAnsi="仿宋_GB2312" w:eastAsia="仿宋_GB2312" w:cs="仿宋_GB2312"/>
          <w:kern w:val="21"/>
          <w:sz w:val="32"/>
          <w:szCs w:val="32"/>
          <w:lang w:val="en-US" w:bidi="ar-SA"/>
        </w:rPr>
        <w:t>健</w:t>
      </w:r>
      <w:r>
        <w:rPr>
          <w:rFonts w:ascii="仿宋_GB2312" w:hAnsi="仿宋_GB2312" w:eastAsia="仿宋_GB2312" w:cs="仿宋_GB2312"/>
          <w:kern w:val="21"/>
          <w:sz w:val="32"/>
          <w:szCs w:val="32"/>
          <w:lang w:val="en-US" w:bidi="ar-SA"/>
        </w:rPr>
        <w:t>局等组成，负责组织协调城市供水质量实时的应急监测。</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应急监测应按照《突发环境事件应急监测技术规范》（HJ589-2010）规定，在第一时间结合污染现场的实际情况，制定包括监测项目、监测范围、布设监测点位、监测频次、现场采样、现场与实验室分析、监测过程质量控制、监测数据整理分析、监测过程总结等内容的监测方案，安排采样专业人员采样，采取不同点位相同间隔时间（通常为4小时）同步采样监测方式，对污染物质的种类、数量、浓度、影响范围进行监测，结合扩散规律分析变化趋势及可能的危害，形成应急监测报告，并安排人员对应急监测情况进行全过程记录，建立应急监测档案。</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应急监测数据的整理分析应本着及时快速报送的原则，以电话、传真、快报、简报、监测报告等形式，将监测结果在第一时间上报给饮用水现场应急指挥部。根据饮用水现场应急指挥部终止应急处置命令，形成监测结论总结报告，报饮用水现场应急指挥部。</w:t>
      </w:r>
    </w:p>
    <w:p>
      <w:pPr>
        <w:pStyle w:val="4"/>
        <w:autoSpaceDE/>
        <w:autoSpaceDN/>
        <w:jc w:val="both"/>
        <w:rPr>
          <w:rFonts w:ascii="黑体" w:hAnsi="黑体" w:eastAsia="黑体" w:cs="黑体"/>
          <w:b w:val="0"/>
          <w:bCs/>
          <w:lang w:val="en-US" w:bidi="ar-SA"/>
        </w:rPr>
      </w:pPr>
      <w:bookmarkStart w:id="89" w:name="_Toc32138"/>
      <w:bookmarkStart w:id="90" w:name="_Toc72337734"/>
      <w:bookmarkStart w:id="91" w:name="_Toc23934"/>
      <w:r>
        <w:rPr>
          <w:rFonts w:hint="eastAsia" w:ascii="黑体" w:hAnsi="黑体" w:eastAsia="黑体" w:cs="黑体"/>
          <w:b w:val="0"/>
          <w:bCs/>
          <w:lang w:val="en-US" w:bidi="ar-SA"/>
        </w:rPr>
        <w:t>3.6 污染源排查与处置</w:t>
      </w:r>
      <w:bookmarkEnd w:id="89"/>
      <w:bookmarkEnd w:id="90"/>
      <w:bookmarkEnd w:id="91"/>
    </w:p>
    <w:p>
      <w:pPr>
        <w:pStyle w:val="4"/>
        <w:autoSpaceDE/>
        <w:autoSpaceDN/>
        <w:jc w:val="both"/>
        <w:rPr>
          <w:rFonts w:ascii="黑体" w:hAnsi="黑体" w:eastAsia="黑体" w:cs="黑体"/>
          <w:b w:val="0"/>
          <w:bCs/>
          <w:lang w:val="en-US" w:bidi="ar-SA"/>
        </w:rPr>
      </w:pPr>
      <w:bookmarkStart w:id="92" w:name="_Toc30822"/>
      <w:bookmarkStart w:id="93" w:name="_Toc72337735"/>
      <w:bookmarkStart w:id="94" w:name="_Toc11265"/>
      <w:r>
        <w:rPr>
          <w:rFonts w:hint="eastAsia" w:ascii="黑体" w:hAnsi="黑体" w:eastAsia="黑体" w:cs="黑体"/>
          <w:b w:val="0"/>
          <w:bCs/>
          <w:lang w:val="en-US" w:bidi="ar-SA"/>
        </w:rPr>
        <w:t>3.6.1 明确排查对象</w:t>
      </w:r>
      <w:bookmarkEnd w:id="92"/>
      <w:bookmarkEnd w:id="93"/>
      <w:bookmarkEnd w:id="94"/>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当水质监测发现异常、污染物来源不确定时，应明确负责开展溯源分析的部门、责任人及工作程序。根据特征污染物种类、浓度变化、释放总量、释放路径、释放时间，以及当时的水文和气象条件，迅速组织开展污染源排查。</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针对不同类型污染物的排查重点和对象如下。</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（1）</w:t>
      </w:r>
      <w:r>
        <w:rPr>
          <w:rFonts w:ascii="仿宋_GB2312" w:hAnsi="仿宋_GB2312" w:eastAsia="仿宋_GB2312" w:cs="仿宋_GB2312"/>
          <w:kern w:val="21"/>
          <w:sz w:val="32"/>
          <w:szCs w:val="32"/>
          <w:lang w:val="en-US" w:bidi="ar-SA"/>
        </w:rPr>
        <w:t>有机类污染：重点排查生活污水处理厂、工业企业，调查污水处理设施运行、尾水排放的异常情况。</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（2）</w:t>
      </w:r>
      <w:r>
        <w:rPr>
          <w:rFonts w:ascii="仿宋_GB2312" w:hAnsi="仿宋_GB2312" w:eastAsia="仿宋_GB2312" w:cs="仿宋_GB2312"/>
          <w:kern w:val="21"/>
          <w:sz w:val="32"/>
          <w:szCs w:val="32"/>
          <w:lang w:val="en-US" w:bidi="ar-SA"/>
        </w:rPr>
        <w:t>营养盐类污染：重点排查生活污水处理厂、工业企业、农田种植户、农村居民点、医疗场所等， 调查污水处理设施运行、养殖废物处理处置、农药化肥</w:t>
      </w:r>
      <w:r>
        <w:rPr>
          <w:rFonts w:hint="eastAsia" w:ascii="仿宋_GB2312" w:hAnsi="仿宋_GB2312" w:eastAsia="仿宋_GB2312" w:cs="仿宋_GB2312"/>
          <w:kern w:val="21"/>
          <w:sz w:val="32"/>
          <w:szCs w:val="32"/>
          <w:lang w:val="en-US" w:bidi="ar-SA"/>
        </w:rPr>
        <w:t>使用</w:t>
      </w:r>
      <w:r>
        <w:rPr>
          <w:rFonts w:ascii="仿宋_GB2312" w:hAnsi="仿宋_GB2312" w:eastAsia="仿宋_GB2312" w:cs="仿宋_GB2312"/>
          <w:kern w:val="21"/>
          <w:sz w:val="32"/>
          <w:szCs w:val="32"/>
          <w:lang w:val="en-US" w:bidi="ar-SA"/>
        </w:rPr>
        <w:t>、农村生活污染、医疗废水处理及消毒设施的异常情况。</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（3）</w:t>
      </w:r>
      <w:r>
        <w:rPr>
          <w:rFonts w:ascii="仿宋_GB2312" w:hAnsi="仿宋_GB2312" w:eastAsia="仿宋_GB2312" w:cs="仿宋_GB2312"/>
          <w:kern w:val="21"/>
          <w:sz w:val="32"/>
          <w:szCs w:val="32"/>
          <w:lang w:val="en-US" w:bidi="ar-SA"/>
        </w:rPr>
        <w:t>细菌类污染：重点排查生活污水处理厂、农村居民点，调查污水处理设施运行、医疗场所、农村生活污染的异常情况。</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（4）</w:t>
      </w:r>
      <w:r>
        <w:rPr>
          <w:rFonts w:ascii="仿宋_GB2312" w:hAnsi="仿宋_GB2312" w:eastAsia="仿宋_GB2312" w:cs="仿宋_GB2312"/>
          <w:kern w:val="21"/>
          <w:sz w:val="32"/>
          <w:szCs w:val="32"/>
          <w:lang w:val="en-US" w:bidi="ar-SA"/>
        </w:rPr>
        <w:t>农药类污染：重点排查农药制造有关的工业企业、果园种植园（户）、农田种植户、农灌退水排放口，调查农药</w:t>
      </w:r>
      <w:r>
        <w:rPr>
          <w:rFonts w:hint="eastAsia" w:ascii="仿宋_GB2312" w:hAnsi="仿宋_GB2312" w:eastAsia="仿宋_GB2312" w:cs="仿宋_GB2312"/>
          <w:kern w:val="21"/>
          <w:sz w:val="32"/>
          <w:szCs w:val="32"/>
          <w:lang w:val="en-US" w:bidi="ar-SA"/>
        </w:rPr>
        <w:t>使用</w:t>
      </w:r>
      <w:r>
        <w:rPr>
          <w:rFonts w:ascii="仿宋_GB2312" w:hAnsi="仿宋_GB2312" w:eastAsia="仿宋_GB2312" w:cs="仿宋_GB2312"/>
          <w:kern w:val="21"/>
          <w:sz w:val="32"/>
          <w:szCs w:val="32"/>
          <w:lang w:val="en-US" w:bidi="ar-SA"/>
        </w:rPr>
        <w:t>和流失的异常情况。</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（5）</w:t>
      </w:r>
      <w:r>
        <w:rPr>
          <w:rFonts w:ascii="仿宋_GB2312" w:hAnsi="仿宋_GB2312" w:eastAsia="仿宋_GB2312" w:cs="仿宋_GB2312"/>
          <w:kern w:val="21"/>
          <w:sz w:val="32"/>
          <w:szCs w:val="32"/>
          <w:lang w:val="en-US" w:bidi="ar-SA"/>
        </w:rPr>
        <w:t>石油类污染：</w:t>
      </w:r>
      <w:r>
        <w:rPr>
          <w:rFonts w:hint="eastAsia" w:ascii="仿宋_GB2312" w:hAnsi="仿宋_GB2312" w:eastAsia="仿宋_GB2312" w:cs="仿宋_GB2312"/>
          <w:kern w:val="21"/>
          <w:sz w:val="32"/>
          <w:szCs w:val="32"/>
          <w:lang w:val="en-US" w:bidi="ar-SA"/>
        </w:rPr>
        <w:t>重点排查加油站、运输车辆、港口、码头、洗舱基地、运输船舶、油气管线、石油开采、加工和存贮的工业企业，调查上述企业和单位的异常情况</w:t>
      </w:r>
      <w:r>
        <w:rPr>
          <w:rFonts w:ascii="仿宋_GB2312" w:hAnsi="仿宋_GB2312" w:eastAsia="仿宋_GB2312" w:cs="仿宋_GB2312"/>
          <w:kern w:val="21"/>
          <w:sz w:val="32"/>
          <w:szCs w:val="32"/>
          <w:lang w:val="en-US" w:bidi="ar-SA"/>
        </w:rPr>
        <w:t>。</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（6）</w:t>
      </w:r>
      <w:r>
        <w:rPr>
          <w:rFonts w:ascii="仿宋_GB2312" w:hAnsi="仿宋_GB2312" w:eastAsia="仿宋_GB2312" w:cs="仿宋_GB2312"/>
          <w:kern w:val="21"/>
          <w:sz w:val="32"/>
          <w:szCs w:val="32"/>
          <w:lang w:val="en-US" w:bidi="ar-SA"/>
        </w:rPr>
        <w:t>重金属及其他有毒有害物质污染：重点排查采矿及选矿的工业企业（含化工园区）、尾矿库、危险废物储存单位、危险品仓库和装卸码头、危化品运输船舶、危化品运输车辆等，调查上述企业和单位的异常情况。</w:t>
      </w:r>
    </w:p>
    <w:p>
      <w:pPr>
        <w:pStyle w:val="5"/>
        <w:autoSpaceDE/>
        <w:autoSpaceDN/>
        <w:spacing w:before="260" w:after="260" w:line="413" w:lineRule="auto"/>
        <w:jc w:val="both"/>
        <w:rPr>
          <w:rFonts w:ascii="黑体" w:hAnsi="黑体" w:eastAsia="黑体" w:cs="黑体"/>
          <w:b w:val="0"/>
          <w:bCs/>
          <w:sz w:val="32"/>
          <w:szCs w:val="22"/>
          <w:lang w:val="en-US" w:bidi="ar-SA"/>
        </w:rPr>
      </w:pPr>
      <w:bookmarkStart w:id="95" w:name="_Toc72337736"/>
      <w:bookmarkStart w:id="96" w:name="_Toc24602"/>
      <w:bookmarkStart w:id="97" w:name="_Toc917"/>
      <w:r>
        <w:rPr>
          <w:rFonts w:hint="eastAsia" w:ascii="黑体" w:hAnsi="黑体" w:eastAsia="黑体" w:cs="黑体"/>
          <w:b w:val="0"/>
          <w:bCs/>
          <w:sz w:val="32"/>
          <w:szCs w:val="22"/>
          <w:lang w:val="en-US" w:bidi="ar-SA"/>
        </w:rPr>
        <w:t>3.6.2 切断污染源</w:t>
      </w:r>
      <w:bookmarkEnd w:id="95"/>
      <w:bookmarkEnd w:id="96"/>
      <w:bookmarkEnd w:id="97"/>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处置措施主要采取切断污染源、收集和围堵污染物等，包括但不限于以下内容。</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（1）</w:t>
      </w:r>
      <w:r>
        <w:rPr>
          <w:rFonts w:ascii="仿宋_GB2312" w:hAnsi="仿宋_GB2312" w:eastAsia="仿宋_GB2312" w:cs="仿宋_GB2312"/>
          <w:kern w:val="21"/>
          <w:sz w:val="32"/>
          <w:szCs w:val="32"/>
          <w:lang w:val="en-US" w:bidi="ar-SA"/>
        </w:rPr>
        <w:t>对发生非正常排放或有毒有害物质泄漏的固定源突发环境事件，应尽快采取关闭、封堵、收集、转移等措施，切断污染源或泄漏源。</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（2）</w:t>
      </w:r>
      <w:r>
        <w:rPr>
          <w:rFonts w:ascii="仿宋_GB2312" w:hAnsi="仿宋_GB2312" w:eastAsia="仿宋_GB2312" w:cs="仿宋_GB2312"/>
          <w:kern w:val="21"/>
          <w:sz w:val="32"/>
          <w:szCs w:val="32"/>
          <w:lang w:val="en-US" w:bidi="ar-SA"/>
        </w:rPr>
        <w:t>对道路交通运输过程中发生的流动源突发事件，</w:t>
      </w:r>
      <w:r>
        <w:rPr>
          <w:rFonts w:hint="eastAsia" w:ascii="仿宋_GB2312" w:hAnsi="仿宋_GB2312" w:eastAsia="仿宋_GB2312" w:cs="仿宋_GB2312"/>
          <w:kern w:val="21"/>
          <w:sz w:val="32"/>
          <w:szCs w:val="32"/>
          <w:lang w:val="en-US" w:bidi="ar-SA"/>
        </w:rPr>
        <w:t>由市交通运输局、生态环境局等组织人员利用路面系统的导流槽、应急池，若无导流槽、应急池等装置时可紧急设置围堰、闸坝等，对污染源进行围堵并收集污染物。</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（3）对水上船舶运输过程中发生的流动源突发事件，由交通运输局组织人员利用运输船上储备的应急处置物资，主要采取救援打捞、油毡吸附、围油栏、闸坝拦截等方式，对污染源进行围堵并收集污染物。</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（4）对非点源突发事件，由市农业农村局、生态环境局，通过停止施放、闸坝拦截、收集、转移等方式，对污染源进行围堵及收集。</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（5）</w:t>
      </w:r>
      <w:r>
        <w:rPr>
          <w:rFonts w:ascii="仿宋_GB2312" w:hAnsi="仿宋_GB2312" w:eastAsia="仿宋_GB2312" w:cs="仿宋_GB2312"/>
          <w:kern w:val="21"/>
          <w:sz w:val="32"/>
          <w:szCs w:val="32"/>
          <w:lang w:val="en-US" w:bidi="ar-SA"/>
        </w:rPr>
        <w:t>启动应急收集系统集中收集陆域污染物，设立拦截设施，防止污染物在陆域漫延，组织有关部门对污染物进行回收处置。</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（6）</w:t>
      </w:r>
      <w:r>
        <w:rPr>
          <w:rFonts w:ascii="仿宋_GB2312" w:hAnsi="仿宋_GB2312" w:eastAsia="仿宋_GB2312" w:cs="仿宋_GB2312"/>
          <w:kern w:val="21"/>
          <w:sz w:val="32"/>
          <w:szCs w:val="32"/>
          <w:lang w:val="en-US" w:bidi="ar-SA"/>
        </w:rPr>
        <w:t>根据现场事态发展对扩散至水体的污染物进行处置。水质监测发现异常、污染物来源不确定时，应明确负责开展溯源分析的部门、责任人及工作程序。根据特征污染物种类、浓度变化、释放总量、释放路径、释放时间，以及当时的水文和气象条件，迅速组织开展污染源排查。</w:t>
      </w:r>
    </w:p>
    <w:p>
      <w:pPr>
        <w:pStyle w:val="4"/>
        <w:autoSpaceDE/>
        <w:autoSpaceDN/>
        <w:jc w:val="both"/>
        <w:rPr>
          <w:rFonts w:ascii="黑体" w:hAnsi="黑体" w:eastAsia="黑体" w:cs="黑体"/>
          <w:b w:val="0"/>
          <w:bCs/>
          <w:lang w:val="en-US" w:bidi="ar-SA"/>
        </w:rPr>
      </w:pPr>
      <w:bookmarkStart w:id="98" w:name="_Toc21780"/>
      <w:bookmarkStart w:id="99" w:name="_Toc17838"/>
      <w:bookmarkStart w:id="100" w:name="_Toc72337737"/>
      <w:r>
        <w:rPr>
          <w:rFonts w:hint="eastAsia" w:ascii="黑体" w:hAnsi="黑体" w:eastAsia="黑体" w:cs="黑体"/>
          <w:b w:val="0"/>
          <w:bCs/>
          <w:lang w:val="en-US" w:bidi="ar-SA"/>
        </w:rPr>
        <w:t>3.7 应急处置</w:t>
      </w:r>
      <w:bookmarkEnd w:id="98"/>
      <w:bookmarkEnd w:id="99"/>
      <w:bookmarkEnd w:id="100"/>
    </w:p>
    <w:p>
      <w:pPr>
        <w:pStyle w:val="4"/>
        <w:autoSpaceDE/>
        <w:autoSpaceDN/>
        <w:jc w:val="both"/>
        <w:rPr>
          <w:rFonts w:ascii="黑体" w:hAnsi="黑体" w:eastAsia="黑体" w:cs="黑体"/>
          <w:b w:val="0"/>
          <w:bCs/>
          <w:lang w:val="en-US" w:bidi="ar-SA"/>
        </w:rPr>
      </w:pPr>
      <w:bookmarkStart w:id="101" w:name="_Toc11864"/>
      <w:bookmarkStart w:id="102" w:name="_Toc4882"/>
      <w:bookmarkStart w:id="103" w:name="_Toc72337738"/>
      <w:r>
        <w:rPr>
          <w:rFonts w:hint="eastAsia" w:ascii="黑体" w:hAnsi="黑体" w:eastAsia="黑体" w:cs="黑体"/>
          <w:b w:val="0"/>
          <w:bCs/>
          <w:lang w:val="en-US" w:bidi="ar-SA"/>
        </w:rPr>
        <w:t>3.7.1 现场处置</w:t>
      </w:r>
      <w:bookmarkEnd w:id="101"/>
      <w:bookmarkEnd w:id="102"/>
      <w:bookmarkEnd w:id="103"/>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现场处置方案包括以下内容：应急监测、污染处置措施、物资调集、应急队伍和人员安排、供水单位应对等。</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根据污染特征，水源地突发环境事件的污染处置措施如下。</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1）上游码头停靠、装载等或上游水上加油站导致柴油或其他有毒有害物质泄漏，沿江道路建设过程中车辆发生碰撞导致油品泄漏，车辆经过桥梁路段碰撞导致翻车油品泄漏，车辆经过沿江公路、赤壁长江大桥路等路段碰撞导致翻车油品泄漏，来往船舶在运输过程中发生碰撞导致油品或运输化学品、其他有毒有害物质泄漏时，主要污染物为石油类或其他有毒有害物质，可采取治理、总量或浓度削减和应急工程设施拦截污染水体处置方案。根据应急专家组等意见，制定综合处置方案，经现场应急指挥部确认后实施。一般采取隔离、吸附、打捞、扰动等物理方法，氧化、沉淀等化学方法，利用上游调水等稀释方法，可以采取一种或多种方式，力争短时间内削减污染物浓度。同时可采取应急工程设施拦截污染水体，将未受污染水体导流至污染水体下游，将污染水体分流至水源保护区外进行收集处置。</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（2）枯水期流速减缓、长江水位下降严重启动应急取水船，或通过调压方式调用邻近水厂，远期规划设置备用取水口等，从而保障居民用水。</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3）上游闸坝调控，导致坝前污水排放；汛期上游防洪排涝排水水质较差时；或其他因自然灾害、生产安全事故、违法排污等原因，导致入河排口水质异常；可采取应急工程设施拦截污染水体，将未受污染水体导流至污染水体下游，将污染水体分流至水源保护区外进行收集处置。此外，根据应急专家组等意见，制定综合处置方案，经现场应急指挥部确认后实施。针对不同的水质超标污染物可采取的物理、化学、生物处理技术。</w:t>
      </w:r>
    </w:p>
    <w:p>
      <w:pPr>
        <w:pStyle w:val="5"/>
        <w:autoSpaceDE/>
        <w:autoSpaceDN/>
        <w:spacing w:before="260" w:after="260" w:line="413" w:lineRule="auto"/>
        <w:jc w:val="both"/>
        <w:rPr>
          <w:rFonts w:ascii="黑体" w:hAnsi="黑体" w:eastAsia="黑体" w:cs="黑体"/>
          <w:b w:val="0"/>
          <w:bCs/>
          <w:sz w:val="32"/>
          <w:szCs w:val="22"/>
          <w:lang w:val="en-US" w:bidi="ar-SA"/>
        </w:rPr>
      </w:pPr>
      <w:bookmarkStart w:id="104" w:name="_Toc24260"/>
      <w:bookmarkStart w:id="105" w:name="_Toc72337739"/>
      <w:bookmarkStart w:id="106" w:name="_Toc2858"/>
      <w:r>
        <w:rPr>
          <w:rFonts w:hint="eastAsia" w:ascii="黑体" w:hAnsi="黑体" w:eastAsia="黑体" w:cs="黑体"/>
          <w:b w:val="0"/>
          <w:bCs/>
          <w:sz w:val="32"/>
          <w:szCs w:val="22"/>
          <w:lang w:val="en-US" w:bidi="ar-SA"/>
        </w:rPr>
        <w:t>3.7.2 供水安全保障</w:t>
      </w:r>
      <w:bookmarkEnd w:id="104"/>
      <w:bookmarkEnd w:id="105"/>
      <w:bookmarkEnd w:id="106"/>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供水单位应根据污染物的种类、浓度、可能影响取水口的时间，及时采取启动备用水源等应急措施，并加强污染物监测，待水质满足取水要求时恢复取水和供水。无备用水源的，使用应急供水车等设施对全</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的桶装水、矿泉水、纯净水和备用水源进行统一调配，确保居民必要的生活用水。</w:t>
      </w:r>
    </w:p>
    <w:p>
      <w:pPr>
        <w:pStyle w:val="4"/>
        <w:autoSpaceDE/>
        <w:autoSpaceDN/>
        <w:jc w:val="both"/>
        <w:rPr>
          <w:rFonts w:ascii="黑体" w:hAnsi="黑体" w:eastAsia="黑体" w:cs="黑体"/>
          <w:b w:val="0"/>
          <w:bCs/>
          <w:lang w:val="en-US" w:bidi="ar-SA"/>
        </w:rPr>
      </w:pPr>
      <w:bookmarkStart w:id="107" w:name="_Toc72337740"/>
      <w:bookmarkStart w:id="108" w:name="_Toc5470"/>
      <w:bookmarkStart w:id="109" w:name="_Toc1330"/>
      <w:r>
        <w:rPr>
          <w:rFonts w:hint="eastAsia" w:ascii="黑体" w:hAnsi="黑体" w:eastAsia="黑体" w:cs="黑体"/>
          <w:b w:val="0"/>
          <w:bCs/>
          <w:lang w:val="en-US" w:bidi="ar-SA"/>
        </w:rPr>
        <w:t>3.8 物资调集及应急设施启用</w:t>
      </w:r>
      <w:bookmarkEnd w:id="107"/>
      <w:bookmarkEnd w:id="108"/>
      <w:bookmarkEnd w:id="109"/>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物资调集由市应急管理局负责人负责，应急物资、装备和设施包括以下内容：</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（1）对水体内污染物进行打捞和拦截的物资、装备和设施，如救援打捞设备、油毡、围油栏、筑坝材料、溢出控制装备等。</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（2）控制和消除污染物的物资、装备和设施，如中和剂、灭火剂、解毒剂、吸收剂等。</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（3）移除和拦截移动源的装备和设施，如吊车、临时围堰、导流槽、应急池等。</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（4）雨水口垃圾清运和拦截的装备和设施，如格栅、清运车、临时设置的导流槽等。</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（5）针对水华灾害，消除有毒有害物质产生条件、清除藻类的物资、装备和设施，如增氧机、除草船等。</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（6）对污染物进行拦截、导流、分流及降解的应急工程设施，如拦截坝、节制闸、导流渠、分流沟、前置库等。</w:t>
      </w:r>
    </w:p>
    <w:p>
      <w:pPr>
        <w:pStyle w:val="4"/>
        <w:autoSpaceDE/>
        <w:autoSpaceDN/>
        <w:jc w:val="both"/>
        <w:rPr>
          <w:rFonts w:ascii="黑体" w:hAnsi="黑体" w:eastAsia="黑体" w:cs="黑体"/>
          <w:b w:val="0"/>
          <w:bCs/>
          <w:lang w:val="en-US" w:bidi="ar-SA"/>
        </w:rPr>
      </w:pPr>
      <w:bookmarkStart w:id="110" w:name="_Toc72337741"/>
      <w:bookmarkStart w:id="111" w:name="_Toc25714"/>
      <w:bookmarkStart w:id="112" w:name="_Toc9934"/>
      <w:r>
        <w:rPr>
          <w:rFonts w:hint="eastAsia" w:ascii="黑体" w:hAnsi="黑体" w:eastAsia="黑体" w:cs="黑体"/>
          <w:b w:val="0"/>
          <w:bCs/>
          <w:lang w:val="en-US" w:bidi="ar-SA"/>
        </w:rPr>
        <w:t>3.9 舆情监测与信息发布</w:t>
      </w:r>
      <w:bookmarkEnd w:id="110"/>
      <w:bookmarkEnd w:id="111"/>
      <w:bookmarkEnd w:id="112"/>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应急组织指挥机构根据实际情况，及时向居民发布关于水污染事件对</w:t>
      </w:r>
      <w:r>
        <w:rPr>
          <w:rFonts w:hint="eastAsia" w:ascii="仿宋_GB2312" w:hAnsi="仿宋_GB2312" w:eastAsia="仿宋_GB2312" w:cs="仿宋_GB2312"/>
          <w:kern w:val="21"/>
          <w:sz w:val="32"/>
          <w:szCs w:val="32"/>
          <w:lang w:val="en-US" w:bidi="ar-SA"/>
        </w:rPr>
        <w:t>饮用</w:t>
      </w:r>
      <w:r>
        <w:rPr>
          <w:rFonts w:ascii="仿宋_GB2312" w:hAnsi="仿宋_GB2312" w:eastAsia="仿宋_GB2312" w:cs="仿宋_GB2312"/>
          <w:kern w:val="21"/>
          <w:sz w:val="32"/>
          <w:szCs w:val="32"/>
          <w:lang w:val="en-US" w:bidi="ar-SA"/>
        </w:rPr>
        <w:t>水源地的影响通告或公告。在水污染事件的处理过程中，应将水污染的来源、污染的情况、采取的措施及预计污染物的</w:t>
      </w:r>
      <w:r>
        <w:rPr>
          <w:rFonts w:hint="eastAsia" w:ascii="仿宋_GB2312" w:hAnsi="仿宋_GB2312" w:eastAsia="仿宋_GB2312" w:cs="仿宋_GB2312"/>
          <w:kern w:val="21"/>
          <w:sz w:val="32"/>
          <w:szCs w:val="32"/>
          <w:lang w:val="en-US" w:bidi="ar-SA"/>
        </w:rPr>
        <w:t>持续时间</w:t>
      </w:r>
      <w:r>
        <w:rPr>
          <w:rFonts w:ascii="仿宋_GB2312" w:hAnsi="仿宋_GB2312" w:eastAsia="仿宋_GB2312" w:cs="仿宋_GB2312"/>
          <w:kern w:val="21"/>
          <w:sz w:val="32"/>
          <w:szCs w:val="32"/>
          <w:lang w:val="en-US" w:bidi="ar-SA"/>
        </w:rPr>
        <w:t>等公众关心的问题，及时向社会公布，正确引导社会舆论并对舆情进行监测，避免引起群众恐慌，为事件处理创造稳定的外部环境。任何单位和个人未经地方人民政府和应急组织指挥组授权，不得向社会发布关于水污染事件的信息。</w:t>
      </w:r>
    </w:p>
    <w:p>
      <w:pPr>
        <w:pStyle w:val="4"/>
        <w:autoSpaceDE/>
        <w:autoSpaceDN/>
        <w:jc w:val="both"/>
        <w:rPr>
          <w:rFonts w:ascii="黑体" w:hAnsi="黑体" w:eastAsia="黑体" w:cs="黑体"/>
          <w:b w:val="0"/>
          <w:bCs/>
          <w:lang w:val="en-US" w:bidi="ar-SA"/>
        </w:rPr>
      </w:pPr>
      <w:bookmarkStart w:id="113" w:name="_Toc72337742"/>
      <w:bookmarkStart w:id="114" w:name="_Toc3918"/>
      <w:bookmarkStart w:id="115" w:name="_Toc7869"/>
      <w:r>
        <w:rPr>
          <w:rFonts w:hint="eastAsia" w:ascii="黑体" w:hAnsi="黑体" w:eastAsia="黑体" w:cs="黑体"/>
          <w:b w:val="0"/>
          <w:bCs/>
          <w:lang w:val="en-US" w:bidi="ar-SA"/>
        </w:rPr>
        <w:t>3.10 响应中止</w:t>
      </w:r>
      <w:bookmarkEnd w:id="113"/>
      <w:bookmarkEnd w:id="114"/>
      <w:bookmarkEnd w:id="115"/>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应急指挥部办公室根据应急调查、应急监测、应急处置等信息，提出应急响应终止建议，报</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应急指挥部批准，由信息新闻组通过电话、电视、网络等媒体向社会发布应急响应终止信息，转入正常工作。</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按照</w:t>
      </w:r>
      <w:r>
        <w:rPr>
          <w:rFonts w:hint="eastAsia" w:ascii="仿宋_GB2312" w:hAnsi="仿宋_GB2312" w:eastAsia="仿宋_GB2312" w:cs="仿宋_GB2312"/>
          <w:kern w:val="21"/>
          <w:sz w:val="32"/>
          <w:szCs w:val="32"/>
          <w:lang w:val="en-US" w:bidi="ar-SA"/>
        </w:rPr>
        <w:t>“</w:t>
      </w:r>
      <w:r>
        <w:rPr>
          <w:rFonts w:ascii="仿宋_GB2312" w:hAnsi="仿宋_GB2312" w:eastAsia="仿宋_GB2312" w:cs="仿宋_GB2312"/>
          <w:kern w:val="21"/>
          <w:sz w:val="32"/>
          <w:szCs w:val="32"/>
          <w:lang w:val="en-US" w:bidi="ar-SA"/>
        </w:rPr>
        <w:t>谁启动、谁终止</w:t>
      </w:r>
      <w:r>
        <w:rPr>
          <w:rFonts w:hint="eastAsia" w:ascii="仿宋_GB2312" w:hAnsi="仿宋_GB2312" w:eastAsia="仿宋_GB2312" w:cs="仿宋_GB2312"/>
          <w:kern w:val="21"/>
          <w:sz w:val="32"/>
          <w:szCs w:val="32"/>
          <w:lang w:val="en-US" w:bidi="ar-SA"/>
        </w:rPr>
        <w:t>”</w:t>
      </w:r>
      <w:r>
        <w:rPr>
          <w:rFonts w:ascii="仿宋_GB2312" w:hAnsi="仿宋_GB2312" w:eastAsia="仿宋_GB2312" w:cs="仿宋_GB2312"/>
          <w:kern w:val="21"/>
          <w:sz w:val="32"/>
          <w:szCs w:val="32"/>
          <w:lang w:val="en-US" w:bidi="ar-SA"/>
        </w:rPr>
        <w:t>的原则，符合下列情形之一的， 可终止应急响应。</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进入水源保护区陆域范围的污染物已成功围堵，且清运至水源保护区外，未向水域扩散时。</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进入水源保护区水域范围的污染团已成功拦截或导流至水源保护区外，没有向取水口扩散的风险，且水质监测结果稳定达标。</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水质监测结果尚未稳定达标，但根据应急专家组建议可恢复正常取水时。</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sectPr>
          <w:headerReference r:id="rId6" w:type="default"/>
          <w:footerReference r:id="rId7" w:type="default"/>
          <w:pgSz w:w="11906" w:h="16838"/>
          <w:pgMar w:top="1440" w:right="1800" w:bottom="1440" w:left="1800" w:header="1134" w:footer="992" w:gutter="0"/>
          <w:pgNumType w:fmt="numberInDash"/>
          <w:cols w:space="425" w:num="1"/>
          <w:docGrid w:type="lines" w:linePitch="312" w:charSpace="0"/>
        </w:sectPr>
      </w:pPr>
    </w:p>
    <w:bookmarkEnd w:id="41"/>
    <w:bookmarkEnd w:id="42"/>
    <w:bookmarkEnd w:id="43"/>
    <w:bookmarkEnd w:id="44"/>
    <w:p>
      <w:pPr>
        <w:pStyle w:val="3"/>
        <w:keepNext/>
        <w:keepLines/>
        <w:pageBreakBefore/>
        <w:autoSpaceDE/>
        <w:autoSpaceDN/>
        <w:spacing w:before="340" w:after="330" w:line="576" w:lineRule="auto"/>
        <w:jc w:val="left"/>
        <w:rPr>
          <w:rFonts w:ascii="方正小标宋_GBK" w:hAnsi="方正小标宋_GBK" w:eastAsia="方正小标宋_GBK" w:cs="方正小标宋_GBK"/>
          <w:b w:val="0"/>
          <w:sz w:val="44"/>
          <w:szCs w:val="44"/>
          <w:lang w:val="en-US" w:bidi="ar-SA"/>
        </w:rPr>
      </w:pPr>
      <w:bookmarkStart w:id="116" w:name="_Toc7169"/>
      <w:bookmarkStart w:id="117" w:name="_Toc21806"/>
      <w:bookmarkStart w:id="118" w:name="_Toc21838"/>
      <w:bookmarkStart w:id="119" w:name="_Toc14513"/>
      <w:bookmarkStart w:id="120" w:name="_Toc72337743"/>
      <w:r>
        <w:rPr>
          <w:rFonts w:hint="eastAsia" w:ascii="方正小标宋_GBK" w:hAnsi="方正小标宋_GBK" w:eastAsia="方正小标宋_GBK" w:cs="方正小标宋_GBK"/>
          <w:b w:val="0"/>
          <w:sz w:val="44"/>
          <w:szCs w:val="44"/>
          <w:lang w:val="en-US" w:bidi="ar-SA"/>
        </w:rPr>
        <w:t xml:space="preserve">4 </w:t>
      </w:r>
      <w:bookmarkEnd w:id="116"/>
      <w:bookmarkEnd w:id="117"/>
      <w:bookmarkEnd w:id="118"/>
      <w:r>
        <w:rPr>
          <w:rFonts w:hint="eastAsia" w:ascii="方正小标宋_GBK" w:hAnsi="方正小标宋_GBK" w:eastAsia="方正小标宋_GBK" w:cs="方正小标宋_GBK"/>
          <w:b w:val="0"/>
          <w:sz w:val="44"/>
          <w:szCs w:val="44"/>
          <w:lang w:val="en-US" w:bidi="ar-SA"/>
        </w:rPr>
        <w:t>后期工作</w:t>
      </w:r>
      <w:bookmarkEnd w:id="119"/>
      <w:bookmarkEnd w:id="120"/>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bookmarkStart w:id="121" w:name="_bookmark9"/>
      <w:bookmarkEnd w:id="121"/>
      <w:bookmarkStart w:id="122" w:name="_Toc2555"/>
      <w:bookmarkStart w:id="123" w:name="_Toc15444"/>
      <w:bookmarkStart w:id="124" w:name="_Toc18640"/>
      <w:r>
        <w:rPr>
          <w:rFonts w:ascii="仿宋_GB2312" w:hAnsi="仿宋_GB2312" w:eastAsia="仿宋_GB2312" w:cs="仿宋_GB2312"/>
          <w:kern w:val="21"/>
          <w:sz w:val="32"/>
          <w:szCs w:val="32"/>
          <w:lang w:val="en-US" w:bidi="ar-SA"/>
        </w:rPr>
        <w:t>集中式饮用水水源地突发环境事件应急终止后，由</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人民政府牵头组成的善后处置组研究制定善后污染防控内容和工作要点，根据不同污染类型，组织开展善后处置工作，并组织对事件起因调查，开展损害评估和理赔等后期工作。</w:t>
      </w:r>
    </w:p>
    <w:p>
      <w:pPr>
        <w:pStyle w:val="4"/>
        <w:autoSpaceDE/>
        <w:autoSpaceDN/>
        <w:jc w:val="both"/>
        <w:rPr>
          <w:rFonts w:ascii="黑体" w:hAnsi="黑体" w:eastAsia="黑体" w:cs="黑体"/>
          <w:b w:val="0"/>
          <w:bCs/>
          <w:lang w:val="en-US" w:bidi="ar-SA"/>
        </w:rPr>
      </w:pPr>
      <w:bookmarkStart w:id="125" w:name="_Toc72337744"/>
      <w:bookmarkStart w:id="126" w:name="_Toc4616"/>
      <w:bookmarkStart w:id="127" w:name="_Toc29869"/>
      <w:r>
        <w:rPr>
          <w:rFonts w:hint="eastAsia" w:ascii="黑体" w:hAnsi="黑体" w:eastAsia="黑体" w:cs="黑体"/>
          <w:b w:val="0"/>
          <w:bCs/>
          <w:lang w:val="en-US" w:bidi="ar-SA"/>
        </w:rPr>
        <w:t>4.1 后期防控</w:t>
      </w:r>
      <w:bookmarkEnd w:id="125"/>
      <w:bookmarkEnd w:id="126"/>
      <w:bookmarkEnd w:id="127"/>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响应终止后应采取污染防控措施，针对泄漏的油品、化学品进行回收；进行后期污染监测和治理，消除投放药剂的残留毒性和后期效应，防止次生突发环境事件；事故场地及漫延区域的污染物清除完成后，对土壤或水生态系统进行修复；部分污染物导流到水源地下游或其他区域，对这些区域的污染物进行清除等。</w:t>
      </w:r>
    </w:p>
    <w:p>
      <w:pPr>
        <w:pStyle w:val="4"/>
        <w:autoSpaceDE/>
        <w:autoSpaceDN/>
        <w:jc w:val="both"/>
        <w:rPr>
          <w:rFonts w:ascii="黑体" w:hAnsi="黑体" w:eastAsia="黑体" w:cs="黑体"/>
          <w:b w:val="0"/>
          <w:bCs/>
          <w:lang w:val="en-US" w:bidi="ar-SA"/>
        </w:rPr>
      </w:pPr>
      <w:bookmarkStart w:id="128" w:name="_Toc72337745"/>
      <w:bookmarkStart w:id="129" w:name="_Toc19294"/>
      <w:bookmarkStart w:id="130" w:name="_Toc14597"/>
      <w:r>
        <w:rPr>
          <w:rFonts w:hint="eastAsia" w:ascii="黑体" w:hAnsi="黑体" w:eastAsia="黑体" w:cs="黑体"/>
          <w:b w:val="0"/>
          <w:bCs/>
          <w:lang w:val="en-US" w:bidi="ar-SA"/>
        </w:rPr>
        <w:t>4.2 事件调查</w:t>
      </w:r>
      <w:bookmarkEnd w:id="128"/>
      <w:bookmarkEnd w:id="129"/>
      <w:bookmarkEnd w:id="130"/>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事件完成后，由咸宁市生态环境局</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分局负责牵头，其他部门配合，组织开展事件调查，查明事件原因和性质，应急预案是否科学合理，应急组织机构是否合理，应急队伍能力需要改进的地方，相应程序是否与应急任务相匹配，应急物资是否准备全面，防护设施是否得当，并提出整改防范措施和处理建议。</w:t>
      </w:r>
    </w:p>
    <w:p>
      <w:pPr>
        <w:pStyle w:val="4"/>
        <w:autoSpaceDE/>
        <w:autoSpaceDN/>
        <w:jc w:val="both"/>
        <w:rPr>
          <w:rFonts w:ascii="黑体" w:hAnsi="黑体" w:eastAsia="黑体" w:cs="黑体"/>
          <w:b w:val="0"/>
          <w:bCs/>
          <w:lang w:val="en-US" w:bidi="ar-SA"/>
        </w:rPr>
      </w:pPr>
      <w:bookmarkStart w:id="131" w:name="_Toc24189"/>
      <w:bookmarkStart w:id="132" w:name="_Toc24826"/>
      <w:bookmarkStart w:id="133" w:name="_Toc72337746"/>
      <w:r>
        <w:rPr>
          <w:rFonts w:hint="eastAsia" w:ascii="黑体" w:hAnsi="黑体" w:eastAsia="黑体" w:cs="黑体"/>
          <w:b w:val="0"/>
          <w:bCs/>
          <w:lang w:val="en-US" w:bidi="ar-SA"/>
        </w:rPr>
        <w:t>4.3 损害评估</w:t>
      </w:r>
      <w:bookmarkEnd w:id="131"/>
      <w:bookmarkEnd w:id="132"/>
      <w:bookmarkEnd w:id="133"/>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人民政府应组织开展污染损害评估，评估事故导致的环境污染危害范围和危害程度，查明人员伤亡情况，供水受影响情况，评估事故造成的影响和损失及待解决的问题等，并将评估结果向社会公布。</w:t>
      </w:r>
    </w:p>
    <w:p>
      <w:pPr>
        <w:pStyle w:val="4"/>
        <w:autoSpaceDE/>
        <w:autoSpaceDN/>
        <w:jc w:val="both"/>
        <w:rPr>
          <w:rFonts w:ascii="黑体" w:hAnsi="黑体" w:eastAsia="黑体" w:cs="黑体"/>
          <w:b w:val="0"/>
          <w:bCs/>
          <w:lang w:val="en-US" w:bidi="ar-SA"/>
        </w:rPr>
      </w:pPr>
      <w:bookmarkStart w:id="134" w:name="_Toc72337747"/>
      <w:bookmarkStart w:id="135" w:name="_Toc31274"/>
      <w:bookmarkStart w:id="136" w:name="_Toc11220"/>
      <w:r>
        <w:rPr>
          <w:rFonts w:hint="eastAsia" w:ascii="黑体" w:hAnsi="黑体" w:eastAsia="黑体" w:cs="黑体"/>
          <w:b w:val="0"/>
          <w:bCs/>
          <w:lang w:val="en-US" w:bidi="ar-SA"/>
        </w:rPr>
        <w:t>4.4 善后处置</w:t>
      </w:r>
      <w:bookmarkEnd w:id="134"/>
      <w:bookmarkEnd w:id="135"/>
      <w:bookmarkEnd w:id="136"/>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sectPr>
          <w:pgSz w:w="11906" w:h="16838"/>
          <w:pgMar w:top="1440" w:right="1800" w:bottom="1440" w:left="1800" w:header="1134" w:footer="992" w:gutter="0"/>
          <w:pgNumType w:fmt="numberInDash"/>
          <w:cols w:space="425" w:num="1"/>
          <w:docGrid w:type="lines" w:linePitch="312" w:charSpace="0"/>
        </w:sectPr>
      </w:pPr>
      <w:r>
        <w:rPr>
          <w:rFonts w:ascii="仿宋_GB2312" w:hAnsi="仿宋_GB2312" w:eastAsia="仿宋_GB2312" w:cs="仿宋_GB2312"/>
          <w:kern w:val="21"/>
          <w:sz w:val="32"/>
          <w:szCs w:val="32"/>
          <w:lang w:val="en-US" w:bidi="ar-SA"/>
        </w:rPr>
        <w:t>善后处置包括损害赔偿、风险源整改和污染场地修复等，损害赔偿由</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人民政府组织负责，风险源整改和污染场地修复由咸宁市生态环境局</w:t>
      </w:r>
      <w:r>
        <w:rPr>
          <w:rFonts w:hint="eastAsia" w:ascii="仿宋_GB2312" w:hAnsi="仿宋_GB2312" w:eastAsia="仿宋_GB2312" w:cs="仿宋_GB2312"/>
          <w:kern w:val="21"/>
          <w:sz w:val="32"/>
          <w:szCs w:val="32"/>
          <w:lang w:val="en-US" w:bidi="ar-SA"/>
        </w:rPr>
        <w:t>赤壁</w:t>
      </w:r>
      <w:r>
        <w:rPr>
          <w:rFonts w:ascii="仿宋_GB2312" w:hAnsi="仿宋_GB2312" w:eastAsia="仿宋_GB2312" w:cs="仿宋_GB2312"/>
          <w:kern w:val="21"/>
          <w:sz w:val="32"/>
          <w:szCs w:val="32"/>
          <w:lang w:val="en-US" w:bidi="ar-SA"/>
        </w:rPr>
        <w:t>分局组织负责。</w:t>
      </w:r>
    </w:p>
    <w:bookmarkEnd w:id="122"/>
    <w:bookmarkEnd w:id="123"/>
    <w:bookmarkEnd w:id="124"/>
    <w:p>
      <w:pPr>
        <w:pStyle w:val="3"/>
        <w:keepNext/>
        <w:keepLines/>
        <w:pageBreakBefore/>
        <w:autoSpaceDE/>
        <w:autoSpaceDN/>
        <w:spacing w:before="340" w:after="330" w:line="576" w:lineRule="auto"/>
        <w:jc w:val="left"/>
        <w:rPr>
          <w:rFonts w:ascii="方正小标宋_GBK" w:hAnsi="方正小标宋_GBK" w:eastAsia="方正小标宋_GBK" w:cs="方正小标宋_GBK"/>
          <w:b w:val="0"/>
          <w:sz w:val="44"/>
          <w:szCs w:val="44"/>
          <w:lang w:val="en-US" w:bidi="ar-SA"/>
        </w:rPr>
      </w:pPr>
      <w:bookmarkStart w:id="137" w:name="_Toc9453"/>
      <w:bookmarkStart w:id="138" w:name="_Toc1898"/>
      <w:bookmarkStart w:id="139" w:name="_Toc618"/>
      <w:bookmarkStart w:id="140" w:name="_Toc15798"/>
      <w:bookmarkStart w:id="141" w:name="_Toc12467"/>
      <w:bookmarkStart w:id="142" w:name="_Toc72337748"/>
      <w:r>
        <w:rPr>
          <w:rFonts w:hint="eastAsia" w:ascii="方正小标宋_GBK" w:hAnsi="方正小标宋_GBK" w:eastAsia="方正小标宋_GBK" w:cs="方正小标宋_GBK"/>
          <w:b w:val="0"/>
          <w:sz w:val="44"/>
          <w:szCs w:val="44"/>
          <w:lang w:val="en-US" w:bidi="ar-SA"/>
        </w:rPr>
        <w:t xml:space="preserve">5 </w:t>
      </w:r>
      <w:bookmarkEnd w:id="137"/>
      <w:bookmarkEnd w:id="138"/>
      <w:bookmarkEnd w:id="139"/>
      <w:bookmarkEnd w:id="140"/>
      <w:r>
        <w:rPr>
          <w:rFonts w:hint="eastAsia" w:ascii="方正小标宋_GBK" w:hAnsi="方正小标宋_GBK" w:eastAsia="方正小标宋_GBK" w:cs="方正小标宋_GBK"/>
          <w:b w:val="0"/>
          <w:sz w:val="44"/>
          <w:szCs w:val="44"/>
          <w:lang w:val="en-US" w:bidi="ar-SA"/>
        </w:rPr>
        <w:t>应急保障</w:t>
      </w:r>
      <w:bookmarkEnd w:id="141"/>
      <w:bookmarkEnd w:id="142"/>
    </w:p>
    <w:p>
      <w:pPr>
        <w:pStyle w:val="4"/>
        <w:autoSpaceDE/>
        <w:autoSpaceDN/>
        <w:jc w:val="both"/>
        <w:rPr>
          <w:rFonts w:ascii="黑体" w:hAnsi="黑体" w:eastAsia="黑体" w:cs="黑体"/>
          <w:b w:val="0"/>
          <w:bCs/>
          <w:lang w:val="en-US" w:bidi="ar-SA"/>
        </w:rPr>
      </w:pPr>
      <w:bookmarkStart w:id="143" w:name="_Toc72337749"/>
      <w:bookmarkStart w:id="144" w:name="_Toc5719"/>
      <w:bookmarkStart w:id="145" w:name="_Toc15963"/>
      <w:bookmarkStart w:id="146" w:name="_Toc24867"/>
      <w:bookmarkStart w:id="147" w:name="_Toc6423"/>
      <w:bookmarkStart w:id="148" w:name="_Toc5446"/>
      <w:r>
        <w:rPr>
          <w:rFonts w:hint="eastAsia" w:ascii="黑体" w:hAnsi="黑体" w:eastAsia="黑体" w:cs="黑体"/>
          <w:b w:val="0"/>
          <w:bCs/>
          <w:lang w:val="en-US" w:bidi="ar-SA"/>
        </w:rPr>
        <w:t>5.1 通讯与信息保障</w:t>
      </w:r>
      <w:bookmarkEnd w:id="143"/>
      <w:bookmarkEnd w:id="144"/>
      <w:bookmarkEnd w:id="145"/>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信息及时传递对应急工作顺利进行时非常必要的，因此必须做好通讯及信息保障工作。要建立通讯系统维护及信息采集等制度，明确参与应急活动的所有部门的通讯方式、配备必要的有线、无线通讯器材（如手机、有线电话等），（如手机、对讲机、有线电话等），确保本预案启动时各应急部门之间的联络畅通。</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由</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人民政府负责对外发布事件信息及应急处置进展情况，可通过网络、广播、电视等渠道。</w:t>
      </w:r>
    </w:p>
    <w:p>
      <w:pPr>
        <w:pStyle w:val="4"/>
        <w:autoSpaceDE/>
        <w:autoSpaceDN/>
        <w:jc w:val="both"/>
        <w:rPr>
          <w:rFonts w:ascii="黑体" w:hAnsi="黑体" w:eastAsia="黑体" w:cs="黑体"/>
          <w:b w:val="0"/>
          <w:bCs/>
          <w:lang w:val="en-US" w:bidi="ar-SA"/>
        </w:rPr>
      </w:pPr>
      <w:bookmarkStart w:id="149" w:name="_Toc72337750"/>
      <w:bookmarkStart w:id="150" w:name="_Toc6115"/>
      <w:r>
        <w:rPr>
          <w:rFonts w:hint="eastAsia" w:ascii="黑体" w:hAnsi="黑体" w:eastAsia="黑体" w:cs="黑体"/>
          <w:b w:val="0"/>
          <w:bCs/>
          <w:lang w:val="en-US" w:bidi="ar-SA"/>
        </w:rPr>
        <w:t>5.2 应急队伍保障</w:t>
      </w:r>
      <w:bookmarkEnd w:id="149"/>
      <w:bookmarkEnd w:id="150"/>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加强应急队伍的建设，通过每年定期的培训和演练，保证应急队伍具有一定的处置能力；制定应急队伍日常管理办法和协作方式，制定应急培训和演练方案，应组织应急队伍对事故信息报告、个体防护、应急资源的使用、应急监测布点方法及监测方法、应急处理方法等培训和演练，确保事发应急队伍快速应对。</w:t>
      </w:r>
    </w:p>
    <w:p>
      <w:pPr>
        <w:pStyle w:val="4"/>
        <w:autoSpaceDE/>
        <w:autoSpaceDN/>
        <w:jc w:val="both"/>
        <w:rPr>
          <w:rFonts w:ascii="黑体" w:hAnsi="黑体" w:eastAsia="黑体" w:cs="黑体"/>
          <w:b w:val="0"/>
          <w:bCs/>
          <w:lang w:val="en-US" w:bidi="ar-SA"/>
        </w:rPr>
      </w:pPr>
      <w:bookmarkStart w:id="151" w:name="_Toc72337751"/>
      <w:bookmarkStart w:id="152" w:name="_Toc9357"/>
      <w:bookmarkStart w:id="153" w:name="_Toc20811"/>
      <w:r>
        <w:rPr>
          <w:rFonts w:hint="eastAsia" w:ascii="黑体" w:hAnsi="黑体" w:eastAsia="黑体" w:cs="黑体"/>
          <w:b w:val="0"/>
          <w:bCs/>
          <w:lang w:val="en-US" w:bidi="ar-SA"/>
        </w:rPr>
        <w:t>5.3 应急资源保障</w:t>
      </w:r>
      <w:bookmarkEnd w:id="151"/>
      <w:bookmarkEnd w:id="152"/>
      <w:bookmarkEnd w:id="153"/>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各有关主管部门要建立突发事件应急队伍；加强各级应急队伍的建设，提高其应对突发事件的素质和能力，形成应急网络。同时，加大应急物资及设施（备）的储备与管理，保证在突发事件发生后，能迅速参与并完成监测、防控、抢险等现场处置工作。</w:t>
      </w:r>
    </w:p>
    <w:p>
      <w:pPr>
        <w:pStyle w:val="4"/>
        <w:autoSpaceDE/>
        <w:autoSpaceDN/>
        <w:jc w:val="both"/>
        <w:rPr>
          <w:rFonts w:ascii="黑体" w:hAnsi="黑体" w:eastAsia="黑体" w:cs="黑体"/>
          <w:b w:val="0"/>
          <w:bCs/>
          <w:lang w:val="en-US" w:bidi="ar-SA"/>
        </w:rPr>
      </w:pPr>
      <w:bookmarkStart w:id="154" w:name="_Toc32566"/>
      <w:bookmarkStart w:id="155" w:name="_Toc72337752"/>
      <w:bookmarkStart w:id="156" w:name="_Toc10909"/>
      <w:r>
        <w:rPr>
          <w:rFonts w:hint="eastAsia" w:ascii="黑体" w:hAnsi="黑体" w:eastAsia="黑体" w:cs="黑体"/>
          <w:b w:val="0"/>
          <w:bCs/>
          <w:lang w:val="en-US" w:bidi="ar-SA"/>
        </w:rPr>
        <w:t>5.4 资金保障</w:t>
      </w:r>
      <w:bookmarkEnd w:id="154"/>
      <w:bookmarkEnd w:id="155"/>
      <w:bookmarkEnd w:id="156"/>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用于集中式饮用水水源地突发环境事件预警系统建设、运行和应急处置、工作机构日常运行以及生态修复的经费，</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级财政部门提供必要的资金保障。</w:t>
      </w:r>
    </w:p>
    <w:p>
      <w:pPr>
        <w:pStyle w:val="4"/>
        <w:autoSpaceDE/>
        <w:autoSpaceDN/>
        <w:jc w:val="both"/>
        <w:rPr>
          <w:rFonts w:ascii="黑体" w:hAnsi="黑体" w:eastAsia="黑体" w:cs="黑体"/>
          <w:b w:val="0"/>
          <w:bCs/>
          <w:lang w:val="en-US" w:bidi="ar-SA"/>
        </w:rPr>
      </w:pPr>
      <w:bookmarkStart w:id="157" w:name="_Toc18427"/>
      <w:bookmarkStart w:id="158" w:name="_Toc72337753"/>
      <w:bookmarkStart w:id="159" w:name="_Toc3829"/>
      <w:r>
        <w:rPr>
          <w:rFonts w:hint="eastAsia" w:ascii="黑体" w:hAnsi="黑体" w:eastAsia="黑体" w:cs="黑体"/>
          <w:b w:val="0"/>
          <w:bCs/>
          <w:lang w:val="en-US" w:bidi="ar-SA"/>
        </w:rPr>
        <w:t>5.5 其他保障</w:t>
      </w:r>
      <w:bookmarkEnd w:id="157"/>
      <w:bookmarkEnd w:id="158"/>
      <w:bookmarkEnd w:id="159"/>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sectPr>
          <w:headerReference r:id="rId8" w:type="default"/>
          <w:footerReference r:id="rId9" w:type="default"/>
          <w:pgSz w:w="11906" w:h="16838"/>
          <w:pgMar w:top="1440" w:right="1800" w:bottom="1440" w:left="1800" w:header="851" w:footer="992" w:gutter="0"/>
          <w:pgNumType w:fmt="numberInDash"/>
          <w:cols w:space="720" w:num="1"/>
          <w:docGrid w:type="lines" w:linePitch="312" w:charSpace="0"/>
        </w:sectPr>
      </w:pP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应急指挥部办公室应建立物资运输、运输设备设施、医疗卫生救助、治安和社会动员等任务联动保障机制，建立相关任务的责任单位、责任人、运输工具、物资设备设施等物资台账，明确保障方式、办法及具体要求，以确保事发各项保障及时到位，发挥应有的作用。</w:t>
      </w:r>
    </w:p>
    <w:bookmarkEnd w:id="146"/>
    <w:bookmarkEnd w:id="147"/>
    <w:bookmarkEnd w:id="148"/>
    <w:p>
      <w:pPr>
        <w:pStyle w:val="4"/>
        <w:autoSpaceDE/>
        <w:autoSpaceDN/>
        <w:jc w:val="both"/>
        <w:rPr>
          <w:rFonts w:ascii="方正小标宋_GBK" w:hAnsi="方正小标宋_GBK" w:eastAsia="方正小标宋_GBK" w:cs="方正小标宋_GBK"/>
          <w:b w:val="0"/>
          <w:bCs/>
          <w:kern w:val="44"/>
          <w:sz w:val="44"/>
          <w:lang w:val="en-US" w:bidi="ar-SA"/>
        </w:rPr>
      </w:pPr>
      <w:bookmarkStart w:id="160" w:name="_Toc27570"/>
      <w:bookmarkStart w:id="161" w:name="_Toc22857"/>
      <w:bookmarkStart w:id="162" w:name="_Toc4377"/>
      <w:bookmarkStart w:id="163" w:name="_Toc10496"/>
      <w:bookmarkStart w:id="164" w:name="_Toc20020"/>
      <w:bookmarkStart w:id="165" w:name="_Toc72337754"/>
      <w:r>
        <w:rPr>
          <w:rFonts w:hint="eastAsia" w:ascii="方正小标宋_GBK" w:hAnsi="方正小标宋_GBK" w:eastAsia="方正小标宋_GBK" w:cs="方正小标宋_GBK"/>
          <w:b w:val="0"/>
          <w:bCs/>
          <w:kern w:val="44"/>
          <w:sz w:val="44"/>
          <w:lang w:val="en-US" w:bidi="ar-SA"/>
        </w:rPr>
        <w:t xml:space="preserve">6 </w:t>
      </w:r>
      <w:bookmarkEnd w:id="160"/>
      <w:bookmarkEnd w:id="161"/>
      <w:bookmarkEnd w:id="162"/>
      <w:bookmarkEnd w:id="163"/>
      <w:r>
        <w:rPr>
          <w:rFonts w:hint="eastAsia" w:ascii="方正小标宋_GBK" w:hAnsi="方正小标宋_GBK" w:eastAsia="方正小标宋_GBK" w:cs="方正小标宋_GBK"/>
          <w:b w:val="0"/>
          <w:bCs/>
          <w:kern w:val="44"/>
          <w:sz w:val="44"/>
          <w:lang w:val="en-US" w:bidi="ar-SA"/>
        </w:rPr>
        <w:t>附则</w:t>
      </w:r>
      <w:bookmarkEnd w:id="164"/>
      <w:bookmarkEnd w:id="165"/>
    </w:p>
    <w:p>
      <w:pPr>
        <w:pStyle w:val="4"/>
        <w:autoSpaceDE/>
        <w:autoSpaceDN/>
        <w:jc w:val="both"/>
        <w:rPr>
          <w:rFonts w:ascii="黑体" w:hAnsi="黑体" w:eastAsia="黑体" w:cs="黑体"/>
          <w:b w:val="0"/>
          <w:bCs/>
          <w:lang w:val="en-US" w:bidi="ar-SA"/>
        </w:rPr>
      </w:pPr>
      <w:bookmarkStart w:id="166" w:name="_Toc17476"/>
      <w:bookmarkStart w:id="167" w:name="_Toc72337755"/>
      <w:bookmarkStart w:id="168" w:name="_Toc21522"/>
      <w:bookmarkStart w:id="169" w:name="_Toc20415"/>
      <w:bookmarkStart w:id="170" w:name="_Toc497127642"/>
      <w:bookmarkStart w:id="171" w:name="_Toc24221"/>
      <w:bookmarkStart w:id="172" w:name="_Toc441764222"/>
      <w:bookmarkStart w:id="173" w:name="_Toc7905"/>
      <w:bookmarkStart w:id="174" w:name="_Toc21627"/>
      <w:bookmarkStart w:id="175" w:name="_Toc26695"/>
      <w:bookmarkStart w:id="176" w:name="_Toc19574"/>
      <w:bookmarkStart w:id="177" w:name="_Toc12721"/>
      <w:bookmarkStart w:id="178" w:name="_Toc15336"/>
      <w:bookmarkStart w:id="179" w:name="_Toc6466"/>
      <w:bookmarkStart w:id="180" w:name="_Toc32091"/>
      <w:bookmarkStart w:id="181" w:name="_Toc31811"/>
      <w:bookmarkStart w:id="182" w:name="_Toc441764328"/>
      <w:bookmarkStart w:id="183" w:name="_Toc1779"/>
      <w:bookmarkStart w:id="184" w:name="_Toc7461"/>
      <w:r>
        <w:rPr>
          <w:rFonts w:hint="eastAsia" w:ascii="黑体" w:hAnsi="黑体" w:eastAsia="黑体" w:cs="黑体"/>
          <w:b w:val="0"/>
          <w:bCs/>
          <w:lang w:val="en-US" w:bidi="ar-SA"/>
        </w:rPr>
        <w:t>6.1 名称术语</w:t>
      </w:r>
      <w:bookmarkEnd w:id="166"/>
      <w:bookmarkEnd w:id="167"/>
      <w:bookmarkEnd w:id="168"/>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bookmarkStart w:id="185" w:name="_Toc18637"/>
      <w:bookmarkStart w:id="186" w:name="_Toc25769"/>
      <w:bookmarkStart w:id="187" w:name="_Toc7768"/>
      <w:r>
        <w:rPr>
          <w:rFonts w:hint="eastAsia" w:ascii="仿宋_GB2312" w:hAnsi="仿宋_GB2312" w:eastAsia="仿宋_GB2312" w:cs="仿宋_GB2312"/>
          <w:kern w:val="21"/>
          <w:sz w:val="32"/>
          <w:szCs w:val="32"/>
          <w:lang w:val="en-US" w:bidi="ar-SA"/>
        </w:rPr>
        <w:t>1. 集中式地表水饮用水水源地</w:t>
      </w:r>
      <w:bookmarkEnd w:id="185"/>
      <w:bookmarkEnd w:id="186"/>
      <w:bookmarkEnd w:id="187"/>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指进入输水管网、送到用户且具有一定取水规模（供水人口一般大于 1000 人）的在用、备用和规划的地表水饮用水水源地。依据取水口所在水体类型不同，可分为河流型水源地和湖泊（水库）型水源地。</w:t>
      </w:r>
    </w:p>
    <w:p>
      <w:pPr>
        <w:numPr>
          <w:ilvl w:val="0"/>
          <w:numId w:val="2"/>
        </w:numPr>
        <w:autoSpaceDE/>
        <w:autoSpaceDN/>
        <w:spacing w:line="360" w:lineRule="auto"/>
        <w:ind w:firstLine="640" w:firstLineChars="200"/>
        <w:jc w:val="both"/>
        <w:rPr>
          <w:rFonts w:ascii="仿宋_GB2312" w:hAnsi="仿宋_GB2312" w:eastAsia="仿宋_GB2312" w:cs="仿宋_GB2312"/>
          <w:kern w:val="21"/>
          <w:sz w:val="32"/>
          <w:szCs w:val="32"/>
          <w:lang w:val="en-US" w:bidi="ar-SA"/>
        </w:rPr>
      </w:pPr>
      <w:bookmarkStart w:id="188" w:name="_Toc30672"/>
      <w:bookmarkStart w:id="189" w:name="_Toc17474"/>
      <w:bookmarkStart w:id="190" w:name="_Toc32333"/>
      <w:r>
        <w:rPr>
          <w:rFonts w:hint="eastAsia" w:ascii="仿宋_GB2312" w:hAnsi="仿宋_GB2312" w:eastAsia="仿宋_GB2312" w:cs="仿宋_GB2312"/>
          <w:kern w:val="21"/>
          <w:sz w:val="32"/>
          <w:szCs w:val="32"/>
          <w:lang w:val="en-US" w:bidi="ar-SA"/>
        </w:rPr>
        <w:t>饮用水水源保护区</w:t>
      </w:r>
      <w:bookmarkEnd w:id="188"/>
      <w:bookmarkEnd w:id="189"/>
      <w:bookmarkEnd w:id="190"/>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指国家为防治饮用水水源地污染、保障水源地环境质量而划定，并要求加以特殊保护的一定面积的水域和陆域。饮用水水源保护区（以下简称水源保护区）分为一级保护区和二级保护区，必要时可在水源保护区外划定准保护区。</w:t>
      </w:r>
    </w:p>
    <w:p>
      <w:pPr>
        <w:numPr>
          <w:ilvl w:val="0"/>
          <w:numId w:val="2"/>
        </w:numPr>
        <w:autoSpaceDE/>
        <w:autoSpaceDN/>
        <w:spacing w:line="360" w:lineRule="auto"/>
        <w:ind w:firstLine="640" w:firstLineChars="200"/>
        <w:jc w:val="both"/>
        <w:rPr>
          <w:rFonts w:ascii="仿宋_GB2312" w:hAnsi="仿宋_GB2312" w:eastAsia="仿宋_GB2312" w:cs="仿宋_GB2312"/>
          <w:kern w:val="21"/>
          <w:sz w:val="32"/>
          <w:szCs w:val="32"/>
          <w:lang w:val="en-US" w:bidi="ar-SA"/>
        </w:rPr>
      </w:pPr>
      <w:bookmarkStart w:id="191" w:name="_Toc24358"/>
      <w:bookmarkStart w:id="192" w:name="_Toc28124"/>
      <w:bookmarkStart w:id="193" w:name="_Toc7870"/>
      <w:r>
        <w:rPr>
          <w:rFonts w:hint="eastAsia" w:ascii="仿宋_GB2312" w:hAnsi="仿宋_GB2312" w:eastAsia="仿宋_GB2312" w:cs="仿宋_GB2312"/>
          <w:kern w:val="21"/>
          <w:sz w:val="32"/>
          <w:szCs w:val="32"/>
          <w:lang w:val="en-US" w:bidi="ar-SA"/>
        </w:rPr>
        <w:t>地表水饮用水水源地风险物质（以下简称水源地风险物质）</w:t>
      </w:r>
      <w:bookmarkEnd w:id="191"/>
      <w:bookmarkEnd w:id="192"/>
      <w:bookmarkEnd w:id="193"/>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指《地表水环境质量标准》中表 1、表 2 和表 3 所包含的项目与物质，以及该标准之外其他可能影响人体健康的项目与物质。</w:t>
      </w:r>
    </w:p>
    <w:p>
      <w:pPr>
        <w:numPr>
          <w:ilvl w:val="0"/>
          <w:numId w:val="2"/>
        </w:numPr>
        <w:autoSpaceDE/>
        <w:autoSpaceDN/>
        <w:spacing w:line="360" w:lineRule="auto"/>
        <w:ind w:firstLine="640" w:firstLineChars="200"/>
        <w:jc w:val="both"/>
        <w:rPr>
          <w:rFonts w:ascii="仿宋_GB2312" w:hAnsi="仿宋_GB2312" w:eastAsia="仿宋_GB2312" w:cs="仿宋_GB2312"/>
          <w:kern w:val="21"/>
          <w:sz w:val="32"/>
          <w:szCs w:val="32"/>
          <w:lang w:val="en-US" w:bidi="ar-SA"/>
        </w:rPr>
      </w:pPr>
      <w:bookmarkStart w:id="194" w:name="_Toc22957"/>
      <w:bookmarkStart w:id="195" w:name="_Toc15206"/>
      <w:bookmarkStart w:id="196" w:name="_Toc11620"/>
      <w:r>
        <w:rPr>
          <w:rFonts w:hint="eastAsia" w:ascii="仿宋_GB2312" w:hAnsi="仿宋_GB2312" w:eastAsia="仿宋_GB2312" w:cs="仿宋_GB2312"/>
          <w:kern w:val="21"/>
          <w:sz w:val="32"/>
          <w:szCs w:val="32"/>
          <w:lang w:val="en-US" w:bidi="ar-SA"/>
        </w:rPr>
        <w:t>饮用水水源地突发环境事件（以下简称水源地突发环境事件）</w:t>
      </w:r>
      <w:bookmarkEnd w:id="194"/>
      <w:bookmarkEnd w:id="195"/>
      <w:bookmarkEnd w:id="196"/>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指由于污染物排放或自然灾害、生产安全事故、交通运输事故等因素，导致水源地风险物质进入水源保护区或其上游的连接水体，突然造成或可能造成水源地水质超标，影响或可能影响饮用水供水单位（以下简称供水单位）正常取水，危及公众身体健康和财产安全，需要采取紧急措施予以应对的事件。</w:t>
      </w:r>
    </w:p>
    <w:p>
      <w:pPr>
        <w:numPr>
          <w:ilvl w:val="0"/>
          <w:numId w:val="2"/>
        </w:numPr>
        <w:autoSpaceDE/>
        <w:autoSpaceDN/>
        <w:spacing w:line="360" w:lineRule="auto"/>
        <w:ind w:firstLine="640" w:firstLineChars="200"/>
        <w:jc w:val="both"/>
        <w:rPr>
          <w:rFonts w:ascii="仿宋_GB2312" w:hAnsi="仿宋_GB2312" w:eastAsia="仿宋_GB2312" w:cs="仿宋_GB2312"/>
          <w:kern w:val="21"/>
          <w:sz w:val="32"/>
          <w:szCs w:val="32"/>
          <w:lang w:val="en-US" w:bidi="ar-SA"/>
        </w:rPr>
      </w:pPr>
      <w:bookmarkStart w:id="197" w:name="_Toc28355"/>
      <w:bookmarkStart w:id="198" w:name="_Toc22255"/>
      <w:bookmarkStart w:id="199" w:name="_Toc20954"/>
      <w:r>
        <w:rPr>
          <w:rFonts w:hint="eastAsia" w:ascii="仿宋_GB2312" w:hAnsi="仿宋_GB2312" w:eastAsia="仿宋_GB2312" w:cs="仿宋_GB2312"/>
          <w:kern w:val="21"/>
          <w:sz w:val="32"/>
          <w:szCs w:val="32"/>
          <w:lang w:val="en-US" w:bidi="ar-SA"/>
        </w:rPr>
        <w:t>水质超标</w:t>
      </w:r>
      <w:bookmarkEnd w:id="197"/>
      <w:bookmarkEnd w:id="198"/>
      <w:bookmarkEnd w:id="199"/>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指水源地水质超过《地表水环境质量标准》规定的Ⅲ类水质标准或标准限值的要求。</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《地表水环境质量标准》未包括的项目，可根据物质本身的危害特性和有关供水单位的净化能力，参考国外有关标准（如世界卫生组织、美国环境保护署等）规定的浓度值，由</w:t>
      </w:r>
      <w:r>
        <w:rPr>
          <w:rFonts w:hint="eastAsia" w:ascii="仿宋_GB2312" w:hAnsi="仿宋_GB2312" w:eastAsia="仿宋_GB2312" w:cs="仿宋_GB2312"/>
          <w:kern w:val="21"/>
          <w:sz w:val="32"/>
          <w:szCs w:val="32"/>
          <w:lang w:val="en-US" w:bidi="ar-SA"/>
        </w:rPr>
        <w:t>咸宁</w:t>
      </w:r>
      <w:r>
        <w:rPr>
          <w:rFonts w:ascii="仿宋_GB2312" w:hAnsi="仿宋_GB2312" w:eastAsia="仿宋_GB2312" w:cs="仿宋_GB2312"/>
          <w:kern w:val="21"/>
          <w:sz w:val="32"/>
          <w:szCs w:val="32"/>
          <w:lang w:val="en-US" w:bidi="ar-SA"/>
        </w:rPr>
        <w:t>市、</w:t>
      </w:r>
      <w:r>
        <w:rPr>
          <w:rFonts w:hint="eastAsia" w:ascii="仿宋_GB2312" w:hAnsi="仿宋_GB2312" w:eastAsia="仿宋_GB2312" w:cs="仿宋_GB2312"/>
          <w:kern w:val="21"/>
          <w:sz w:val="32"/>
          <w:szCs w:val="32"/>
          <w:lang w:val="en-US" w:bidi="ar-SA"/>
        </w:rPr>
        <w:t>赤壁市</w:t>
      </w:r>
      <w:r>
        <w:rPr>
          <w:rFonts w:ascii="仿宋_GB2312" w:hAnsi="仿宋_GB2312" w:eastAsia="仿宋_GB2312" w:cs="仿宋_GB2312"/>
          <w:kern w:val="21"/>
          <w:sz w:val="32"/>
          <w:szCs w:val="32"/>
          <w:lang w:val="en-US" w:bidi="ar-SA"/>
        </w:rPr>
        <w:t>级人民政府组织有关部门会商或依据应急专家组意见确定。</w:t>
      </w:r>
    </w:p>
    <w:p>
      <w:pPr>
        <w:pStyle w:val="4"/>
        <w:autoSpaceDE/>
        <w:autoSpaceDN/>
        <w:jc w:val="both"/>
        <w:rPr>
          <w:rFonts w:ascii="仿宋_GB2312" w:hAnsi="仿宋_GB2312" w:eastAsia="仿宋_GB2312" w:cs="仿宋_GB2312"/>
          <w:b w:val="0"/>
          <w:kern w:val="21"/>
          <w:szCs w:val="32"/>
          <w:lang w:val="en-US" w:bidi="ar-SA"/>
        </w:rPr>
      </w:pPr>
      <w:bookmarkStart w:id="200" w:name="_Toc13078"/>
      <w:bookmarkStart w:id="201" w:name="_Toc72337756"/>
      <w:bookmarkStart w:id="202" w:name="_Toc16285"/>
      <w:r>
        <w:rPr>
          <w:rFonts w:hint="eastAsia" w:ascii="黑体" w:hAnsi="黑体" w:eastAsia="黑体" w:cs="黑体"/>
          <w:b w:val="0"/>
          <w:bCs/>
          <w:lang w:val="en-US" w:bidi="ar-SA"/>
        </w:rPr>
        <w:t>6.2 预案解释部门</w:t>
      </w:r>
      <w:bookmarkEnd w:id="200"/>
      <w:bookmarkEnd w:id="201"/>
      <w:bookmarkEnd w:id="202"/>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本预案由水环境应急办负责解释。</w:t>
      </w:r>
    </w:p>
    <w:p>
      <w:pPr>
        <w:pStyle w:val="4"/>
        <w:autoSpaceDE/>
        <w:autoSpaceDN/>
        <w:jc w:val="both"/>
        <w:rPr>
          <w:rFonts w:ascii="黑体" w:hAnsi="黑体" w:eastAsia="黑体" w:cs="黑体"/>
          <w:b w:val="0"/>
          <w:bCs/>
          <w:lang w:val="en-US" w:bidi="ar-SA"/>
        </w:rPr>
      </w:pPr>
      <w:bookmarkStart w:id="203" w:name="_Toc28413"/>
      <w:bookmarkStart w:id="204" w:name="_Toc14188"/>
      <w:bookmarkStart w:id="205" w:name="_Toc72337757"/>
      <w:r>
        <w:rPr>
          <w:rFonts w:hint="eastAsia" w:ascii="黑体" w:hAnsi="黑体" w:eastAsia="黑体" w:cs="黑体"/>
          <w:b w:val="0"/>
          <w:bCs/>
          <w:lang w:val="en-US" w:bidi="ar-SA"/>
        </w:rPr>
        <w:t>6.3 预案演练和修订</w:t>
      </w:r>
      <w:bookmarkEnd w:id="203"/>
      <w:bookmarkEnd w:id="204"/>
      <w:bookmarkEnd w:id="205"/>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全</w:t>
      </w: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定期或不定期选择重点集中式饮用水水源地开展应急综合演练，切实提高防范和处置突发事件的技能，增强实战能力。</w:t>
      </w:r>
    </w:p>
    <w:p>
      <w:pPr>
        <w:autoSpaceDE/>
        <w:autoSpaceDN/>
        <w:spacing w:line="360" w:lineRule="auto"/>
        <w:ind w:firstLine="640" w:firstLineChars="200"/>
        <w:jc w:val="both"/>
        <w:rPr>
          <w:rFonts w:ascii="Times New Roman" w:hAnsi="Times New Roman" w:cs="Times New Roman"/>
          <w:kern w:val="21"/>
          <w:sz w:val="24"/>
          <w:szCs w:val="24"/>
          <w:lang w:val="en-US" w:bidi="ar-SA"/>
        </w:rPr>
      </w:pPr>
      <w:r>
        <w:rPr>
          <w:rFonts w:hint="eastAsia" w:ascii="仿宋_GB2312" w:hAnsi="仿宋_GB2312" w:eastAsia="仿宋_GB2312" w:cs="仿宋_GB2312"/>
          <w:kern w:val="21"/>
          <w:sz w:val="32"/>
          <w:szCs w:val="32"/>
          <w:lang w:val="en-US" w:bidi="ar-SA"/>
        </w:rPr>
        <w:t>市</w:t>
      </w:r>
      <w:r>
        <w:rPr>
          <w:rFonts w:ascii="仿宋_GB2312" w:hAnsi="仿宋_GB2312" w:eastAsia="仿宋_GB2312" w:cs="仿宋_GB2312"/>
          <w:kern w:val="21"/>
          <w:sz w:val="32"/>
          <w:szCs w:val="32"/>
          <w:lang w:val="en-US" w:bidi="ar-SA"/>
        </w:rPr>
        <w:t>应急指挥部办公室负责按照应急演练至少每年一次的频率组织本预案演练，并对演练中事故期间通讯系统是否正常运作、信息报送流程、各小组配合情况、人员应急能力等情况进行总结分析、评价，之后及时组织修订完善预案。</w:t>
      </w:r>
    </w:p>
    <w:p>
      <w:pPr>
        <w:pStyle w:val="4"/>
        <w:autoSpaceDE/>
        <w:autoSpaceDN/>
        <w:jc w:val="both"/>
        <w:rPr>
          <w:rFonts w:ascii="黑体" w:hAnsi="黑体" w:eastAsia="黑体" w:cs="黑体"/>
          <w:b w:val="0"/>
          <w:bCs/>
          <w:lang w:val="en-US" w:bidi="ar-SA"/>
        </w:rPr>
      </w:pPr>
      <w:bookmarkStart w:id="206" w:name="_Toc72337758"/>
      <w:bookmarkStart w:id="207" w:name="_Toc20312"/>
      <w:bookmarkStart w:id="208" w:name="_Toc31267"/>
      <w:r>
        <w:rPr>
          <w:rFonts w:hint="eastAsia" w:ascii="黑体" w:hAnsi="黑体" w:eastAsia="黑体" w:cs="黑体"/>
          <w:b w:val="0"/>
          <w:bCs/>
          <w:lang w:val="en-US" w:bidi="ar-SA"/>
        </w:rPr>
        <w:t>6.4 预案实施时间</w:t>
      </w:r>
      <w:bookmarkEnd w:id="206"/>
      <w:bookmarkEnd w:id="207"/>
      <w:bookmarkEnd w:id="208"/>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pPr>
      <w:r>
        <w:rPr>
          <w:rFonts w:ascii="仿宋_GB2312" w:hAnsi="仿宋_GB2312" w:eastAsia="仿宋_GB2312" w:cs="仿宋_GB2312"/>
          <w:kern w:val="21"/>
          <w:sz w:val="32"/>
          <w:szCs w:val="32"/>
          <w:lang w:val="en-US" w:bidi="ar-SA"/>
        </w:rPr>
        <w:t>本预案自发布之日起实施，原有版本失效。</w:t>
      </w:r>
    </w:p>
    <w:p>
      <w:pPr>
        <w:autoSpaceDE/>
        <w:autoSpaceDN/>
        <w:spacing w:line="360" w:lineRule="auto"/>
        <w:ind w:firstLine="640" w:firstLineChars="200"/>
        <w:jc w:val="both"/>
        <w:rPr>
          <w:rFonts w:ascii="仿宋_GB2312" w:hAnsi="仿宋_GB2312" w:eastAsia="仿宋_GB2312" w:cs="仿宋_GB2312"/>
          <w:kern w:val="21"/>
          <w:sz w:val="32"/>
          <w:szCs w:val="32"/>
          <w:lang w:val="en-US" w:bidi="ar-SA"/>
        </w:rPr>
        <w:sectPr>
          <w:pgSz w:w="11906" w:h="16838"/>
          <w:pgMar w:top="1440" w:right="1800" w:bottom="1440" w:left="1800" w:header="1134" w:footer="992" w:gutter="0"/>
          <w:pgNumType w:fmt="numberInDash"/>
          <w:cols w:space="425" w:num="1"/>
          <w:docGrid w:type="lines" w:linePitch="312" w:charSpace="0"/>
        </w:sectPr>
      </w:pPr>
    </w:p>
    <w:p>
      <w:pPr>
        <w:pStyle w:val="3"/>
        <w:rPr>
          <w:lang w:val="en-US"/>
        </w:rPr>
      </w:pPr>
      <w:bookmarkStart w:id="209" w:name="_Toc3641"/>
      <w:bookmarkStart w:id="210" w:name="_Toc17163"/>
      <w:bookmarkStart w:id="211" w:name="_Toc72337759"/>
      <w:r>
        <w:rPr>
          <w:rFonts w:hint="eastAsia"/>
          <w:lang w:val="en-US"/>
        </w:rPr>
        <w:t>附图附件</w:t>
      </w:r>
      <w:bookmarkEnd w:id="209"/>
      <w:bookmarkEnd w:id="210"/>
      <w:bookmarkEnd w:id="211"/>
    </w:p>
    <w:p>
      <w:pPr>
        <w:autoSpaceDE/>
        <w:autoSpaceDN/>
        <w:spacing w:line="360" w:lineRule="auto"/>
        <w:ind w:firstLine="480" w:firstLineChars="200"/>
        <w:jc w:val="both"/>
        <w:rPr>
          <w:rFonts w:ascii="Times New Roman" w:hAnsi="Times New Roman" w:cs="Times New Roman"/>
          <w:kern w:val="21"/>
          <w:sz w:val="24"/>
          <w:szCs w:val="24"/>
          <w:lang w:val="en-US" w:bidi="ar-SA"/>
        </w:rPr>
      </w:pPr>
      <w:r>
        <w:rPr>
          <w:rFonts w:hint="eastAsia" w:ascii="Times New Roman" w:hAnsi="Times New Roman" w:cs="Times New Roman"/>
          <w:kern w:val="21"/>
          <w:sz w:val="24"/>
          <w:szCs w:val="24"/>
          <w:lang w:val="en-US" w:bidi="ar-SA"/>
        </w:rPr>
        <w:t>附图</w:t>
      </w:r>
    </w:p>
    <w:p>
      <w:pPr>
        <w:pStyle w:val="31"/>
        <w:ind w:firstLine="480"/>
      </w:pPr>
      <w:bookmarkStart w:id="212" w:name="_Toc28570"/>
      <w:bookmarkStart w:id="213" w:name="_Toc29817"/>
      <w:r>
        <w:t>附</w:t>
      </w:r>
      <w:r>
        <w:rPr>
          <w:rFonts w:hint="eastAsia"/>
        </w:rPr>
        <w:t>图</w:t>
      </w:r>
      <w:r>
        <w:t xml:space="preserve"> </w:t>
      </w:r>
      <w:r>
        <w:rPr>
          <w:rFonts w:hint="eastAsia"/>
        </w:rPr>
        <w:t>1</w:t>
      </w:r>
      <w:r>
        <w:t xml:space="preserve"> </w:t>
      </w:r>
      <w:r>
        <w:rPr>
          <w:rFonts w:hint="eastAsia"/>
        </w:rPr>
        <w:t>赤壁市乡镇</w:t>
      </w:r>
      <w:r>
        <w:t>级集中式饮用水水源地保护区示意图</w:t>
      </w:r>
      <w:bookmarkEnd w:id="212"/>
      <w:bookmarkEnd w:id="213"/>
    </w:p>
    <w:p>
      <w:pPr>
        <w:pStyle w:val="31"/>
        <w:ind w:firstLine="480"/>
      </w:pPr>
      <w:bookmarkStart w:id="214" w:name="_Toc7065"/>
      <w:bookmarkStart w:id="215" w:name="_Toc6705"/>
      <w:r>
        <w:t>附</w:t>
      </w:r>
      <w:r>
        <w:rPr>
          <w:rFonts w:hint="eastAsia"/>
        </w:rPr>
        <w:t>图</w:t>
      </w:r>
      <w:r>
        <w:t xml:space="preserve"> </w:t>
      </w:r>
      <w:r>
        <w:rPr>
          <w:rFonts w:hint="eastAsia"/>
        </w:rPr>
        <w:t>2</w:t>
      </w:r>
      <w:r>
        <w:t xml:space="preserve"> 突发</w:t>
      </w:r>
      <w:r>
        <w:rPr>
          <w:rFonts w:hint="eastAsia"/>
        </w:rPr>
        <w:t>污染</w:t>
      </w:r>
      <w:r>
        <w:t>事件应急</w:t>
      </w:r>
      <w:r>
        <w:rPr>
          <w:rFonts w:hint="eastAsia"/>
        </w:rPr>
        <w:t>处置工作</w:t>
      </w:r>
      <w:r>
        <w:t>图；</w:t>
      </w:r>
      <w:bookmarkEnd w:id="214"/>
      <w:bookmarkEnd w:id="215"/>
      <w:r>
        <w:t xml:space="preserve"> </w:t>
      </w:r>
    </w:p>
    <w:p>
      <w:pPr>
        <w:autoSpaceDE/>
        <w:autoSpaceDN/>
        <w:spacing w:line="360" w:lineRule="auto"/>
        <w:ind w:firstLine="480" w:firstLineChars="200"/>
        <w:jc w:val="both"/>
        <w:rPr>
          <w:rFonts w:ascii="Times New Roman" w:hAnsi="Times New Roman" w:cs="Times New Roman"/>
          <w:kern w:val="21"/>
          <w:sz w:val="24"/>
          <w:szCs w:val="24"/>
          <w:lang w:val="en-US" w:bidi="ar-SA"/>
        </w:rPr>
      </w:pPr>
    </w:p>
    <w:p>
      <w:pPr>
        <w:autoSpaceDE/>
        <w:autoSpaceDN/>
        <w:spacing w:line="360" w:lineRule="auto"/>
        <w:ind w:firstLine="480" w:firstLineChars="200"/>
        <w:jc w:val="both"/>
        <w:rPr>
          <w:rFonts w:ascii="Times New Roman" w:hAnsi="Times New Roman" w:cs="Times New Roman"/>
          <w:kern w:val="21"/>
          <w:sz w:val="24"/>
          <w:szCs w:val="24"/>
          <w:lang w:val="en-US" w:bidi="ar-SA"/>
        </w:rPr>
      </w:pPr>
      <w:r>
        <w:rPr>
          <w:rFonts w:hint="eastAsia" w:ascii="Times New Roman" w:hAnsi="Times New Roman" w:cs="Times New Roman"/>
          <w:kern w:val="21"/>
          <w:sz w:val="24"/>
          <w:szCs w:val="24"/>
          <w:lang w:val="en-US" w:bidi="ar-SA"/>
        </w:rPr>
        <w:t>附件</w:t>
      </w:r>
    </w:p>
    <w:p>
      <w:pPr>
        <w:autoSpaceDE/>
        <w:autoSpaceDN/>
        <w:spacing w:line="360" w:lineRule="auto"/>
        <w:ind w:firstLine="480" w:firstLineChars="200"/>
        <w:jc w:val="both"/>
        <w:rPr>
          <w:rFonts w:ascii="Times New Roman" w:hAnsi="Times New Roman" w:cs="Times New Roman"/>
          <w:kern w:val="21"/>
          <w:sz w:val="24"/>
          <w:szCs w:val="24"/>
          <w:lang w:val="en-US" w:bidi="ar-SA"/>
        </w:rPr>
      </w:pPr>
      <w:bookmarkStart w:id="216" w:name="_Toc8117"/>
      <w:r>
        <w:rPr>
          <w:rFonts w:ascii="Times New Roman" w:hAnsi="Times New Roman" w:cs="Times New Roman"/>
          <w:kern w:val="21"/>
          <w:sz w:val="24"/>
          <w:szCs w:val="24"/>
          <w:lang w:val="en-US" w:bidi="ar-SA"/>
        </w:rPr>
        <w:t xml:space="preserve">附件 1 </w:t>
      </w:r>
      <w:r>
        <w:rPr>
          <w:rFonts w:hint="eastAsia" w:ascii="Times New Roman" w:hAnsi="Times New Roman" w:cs="Times New Roman"/>
          <w:kern w:val="21"/>
          <w:sz w:val="24"/>
          <w:szCs w:val="24"/>
          <w:lang w:val="en-US" w:bidi="ar-SA"/>
        </w:rPr>
        <w:t>赤壁市乡镇</w:t>
      </w:r>
      <w:r>
        <w:rPr>
          <w:rFonts w:ascii="Times New Roman" w:hAnsi="Times New Roman" w:cs="Times New Roman"/>
          <w:kern w:val="21"/>
          <w:sz w:val="24"/>
          <w:szCs w:val="24"/>
          <w:lang w:val="en-US" w:bidi="ar-SA"/>
        </w:rPr>
        <w:t>级集中式饮用水水源地概况</w:t>
      </w:r>
      <w:bookmarkEnd w:id="216"/>
    </w:p>
    <w:p>
      <w:pPr>
        <w:autoSpaceDE/>
        <w:autoSpaceDN/>
        <w:spacing w:line="360" w:lineRule="auto"/>
        <w:ind w:firstLine="480" w:firstLineChars="200"/>
        <w:jc w:val="both"/>
        <w:rPr>
          <w:rFonts w:ascii="Times New Roman" w:hAnsi="Times New Roman" w:cs="Times New Roman"/>
          <w:kern w:val="21"/>
          <w:sz w:val="24"/>
          <w:szCs w:val="24"/>
          <w:lang w:val="en-US" w:bidi="ar-SA"/>
        </w:rPr>
      </w:pPr>
      <w:bookmarkStart w:id="217" w:name="_Toc32021"/>
      <w:r>
        <w:rPr>
          <w:rFonts w:ascii="Times New Roman" w:hAnsi="Times New Roman" w:cs="Times New Roman"/>
          <w:kern w:val="21"/>
          <w:sz w:val="24"/>
          <w:szCs w:val="24"/>
          <w:lang w:val="en-US" w:bidi="ar-SA"/>
        </w:rPr>
        <w:t xml:space="preserve">附件 </w:t>
      </w:r>
      <w:r>
        <w:rPr>
          <w:rFonts w:hint="eastAsia" w:ascii="Times New Roman" w:hAnsi="Times New Roman" w:cs="Times New Roman"/>
          <w:kern w:val="21"/>
          <w:sz w:val="24"/>
          <w:szCs w:val="24"/>
          <w:lang w:val="en-US" w:bidi="ar-SA"/>
        </w:rPr>
        <w:t>2</w:t>
      </w:r>
      <w:r>
        <w:rPr>
          <w:rFonts w:ascii="Times New Roman" w:hAnsi="Times New Roman" w:cs="Times New Roman"/>
          <w:kern w:val="21"/>
          <w:sz w:val="24"/>
          <w:szCs w:val="24"/>
          <w:lang w:val="en-US" w:bidi="ar-SA"/>
        </w:rPr>
        <w:t xml:space="preserve"> 应急处置指挥部</w:t>
      </w:r>
      <w:r>
        <w:rPr>
          <w:rFonts w:hint="eastAsia" w:ascii="Times New Roman" w:hAnsi="Times New Roman" w:cs="Times New Roman"/>
          <w:kern w:val="21"/>
          <w:sz w:val="24"/>
          <w:szCs w:val="24"/>
          <w:lang w:val="en-US" w:bidi="ar-SA"/>
        </w:rPr>
        <w:t>组成</w:t>
      </w:r>
      <w:bookmarkEnd w:id="217"/>
    </w:p>
    <w:p>
      <w:pPr>
        <w:autoSpaceDE/>
        <w:autoSpaceDN/>
        <w:spacing w:line="360" w:lineRule="auto"/>
        <w:ind w:firstLine="480" w:firstLineChars="200"/>
        <w:jc w:val="both"/>
        <w:rPr>
          <w:rFonts w:ascii="Times New Roman" w:hAnsi="Times New Roman" w:cs="Times New Roman"/>
          <w:kern w:val="21"/>
          <w:sz w:val="24"/>
          <w:szCs w:val="24"/>
          <w:lang w:val="en-US" w:bidi="ar-SA"/>
        </w:rPr>
      </w:pPr>
      <w:bookmarkStart w:id="218" w:name="_Toc25949"/>
      <w:r>
        <w:rPr>
          <w:rFonts w:ascii="Times New Roman" w:hAnsi="Times New Roman" w:cs="Times New Roman"/>
          <w:kern w:val="21"/>
          <w:sz w:val="24"/>
          <w:szCs w:val="24"/>
          <w:lang w:val="en-US" w:bidi="ar-SA"/>
        </w:rPr>
        <w:t xml:space="preserve">附件 </w:t>
      </w:r>
      <w:r>
        <w:rPr>
          <w:rFonts w:hint="eastAsia" w:ascii="Times New Roman" w:hAnsi="Times New Roman" w:cs="Times New Roman"/>
          <w:kern w:val="21"/>
          <w:sz w:val="24"/>
          <w:szCs w:val="24"/>
          <w:lang w:val="en-US" w:bidi="ar-SA"/>
        </w:rPr>
        <w:t>3</w:t>
      </w:r>
      <w:r>
        <w:rPr>
          <w:rFonts w:ascii="Times New Roman" w:hAnsi="Times New Roman" w:cs="Times New Roman"/>
          <w:kern w:val="21"/>
          <w:sz w:val="24"/>
          <w:szCs w:val="24"/>
          <w:lang w:val="en-US" w:bidi="ar-SA"/>
        </w:rPr>
        <w:t xml:space="preserve"> 应急处置指挥部单位成员</w:t>
      </w:r>
      <w:bookmarkEnd w:id="218"/>
    </w:p>
    <w:p>
      <w:pPr>
        <w:autoSpaceDE/>
        <w:autoSpaceDN/>
        <w:spacing w:line="360" w:lineRule="auto"/>
        <w:ind w:firstLine="480" w:firstLineChars="200"/>
        <w:jc w:val="both"/>
        <w:rPr>
          <w:rFonts w:ascii="Times New Roman" w:hAnsi="Times New Roman" w:cs="Times New Roman"/>
          <w:kern w:val="21"/>
          <w:sz w:val="24"/>
          <w:szCs w:val="24"/>
          <w:lang w:val="en-US" w:bidi="ar-SA"/>
        </w:rPr>
      </w:pPr>
      <w:bookmarkStart w:id="219" w:name="_Toc3256"/>
      <w:r>
        <w:rPr>
          <w:rFonts w:ascii="Times New Roman" w:hAnsi="Times New Roman" w:cs="Times New Roman"/>
          <w:kern w:val="21"/>
          <w:sz w:val="24"/>
          <w:szCs w:val="24"/>
          <w:lang w:val="en-US" w:bidi="ar-SA"/>
        </w:rPr>
        <w:t xml:space="preserve">附件 </w:t>
      </w:r>
      <w:r>
        <w:rPr>
          <w:rFonts w:hint="eastAsia" w:ascii="Times New Roman" w:hAnsi="Times New Roman" w:cs="Times New Roman"/>
          <w:kern w:val="21"/>
          <w:sz w:val="24"/>
          <w:szCs w:val="24"/>
          <w:lang w:val="en-US" w:bidi="ar-SA"/>
        </w:rPr>
        <w:t>4</w:t>
      </w:r>
      <w:r>
        <w:rPr>
          <w:rFonts w:ascii="Times New Roman" w:hAnsi="Times New Roman" w:cs="Times New Roman"/>
          <w:kern w:val="21"/>
          <w:sz w:val="24"/>
          <w:szCs w:val="24"/>
          <w:lang w:val="en-US" w:bidi="ar-SA"/>
        </w:rPr>
        <w:t xml:space="preserve"> 应急工作组职责</w:t>
      </w:r>
      <w:bookmarkEnd w:id="219"/>
    </w:p>
    <w:p>
      <w:pPr>
        <w:autoSpaceDE/>
        <w:autoSpaceDN/>
        <w:spacing w:line="360" w:lineRule="auto"/>
        <w:ind w:firstLine="480" w:firstLineChars="200"/>
        <w:jc w:val="both"/>
        <w:rPr>
          <w:rFonts w:ascii="Times New Roman" w:hAnsi="Times New Roman" w:cs="Times New Roman"/>
          <w:kern w:val="21"/>
          <w:sz w:val="24"/>
          <w:szCs w:val="24"/>
          <w:lang w:val="en-US" w:bidi="ar-SA"/>
        </w:rPr>
      </w:pPr>
      <w:bookmarkStart w:id="220" w:name="_Toc4543"/>
      <w:r>
        <w:rPr>
          <w:rFonts w:ascii="Times New Roman" w:hAnsi="Times New Roman" w:cs="Times New Roman"/>
          <w:kern w:val="21"/>
          <w:sz w:val="24"/>
          <w:szCs w:val="24"/>
          <w:lang w:val="en-US" w:bidi="ar-SA"/>
        </w:rPr>
        <w:t xml:space="preserve">附件 </w:t>
      </w:r>
      <w:r>
        <w:rPr>
          <w:rFonts w:hint="eastAsia" w:ascii="Times New Roman" w:hAnsi="Times New Roman" w:cs="Times New Roman"/>
          <w:kern w:val="21"/>
          <w:sz w:val="24"/>
          <w:szCs w:val="24"/>
          <w:lang w:val="en-US" w:bidi="ar-SA"/>
        </w:rPr>
        <w:t>5</w:t>
      </w:r>
      <w:r>
        <w:rPr>
          <w:rFonts w:ascii="Times New Roman" w:hAnsi="Times New Roman" w:cs="Times New Roman"/>
          <w:kern w:val="21"/>
          <w:sz w:val="24"/>
          <w:szCs w:val="24"/>
          <w:lang w:val="en-US" w:bidi="ar-SA"/>
        </w:rPr>
        <w:t xml:space="preserve"> 集中式饮用水水源地突发污染事件应急常用物资表</w:t>
      </w:r>
      <w:bookmarkEnd w:id="220"/>
    </w:p>
    <w:p>
      <w:pPr>
        <w:autoSpaceDE/>
        <w:autoSpaceDN/>
        <w:spacing w:line="360" w:lineRule="auto"/>
        <w:ind w:firstLine="480" w:firstLineChars="200"/>
        <w:jc w:val="both"/>
        <w:rPr>
          <w:rFonts w:ascii="Times New Roman" w:hAnsi="Times New Roman" w:cs="Times New Roman"/>
          <w:kern w:val="21"/>
          <w:sz w:val="24"/>
          <w:szCs w:val="24"/>
          <w:lang w:val="en-US" w:bidi="ar-SA"/>
        </w:rPr>
      </w:pPr>
      <w:bookmarkStart w:id="221" w:name="_Toc32342"/>
      <w:r>
        <w:rPr>
          <w:rFonts w:ascii="Times New Roman" w:hAnsi="Times New Roman" w:cs="Times New Roman"/>
          <w:kern w:val="21"/>
          <w:sz w:val="24"/>
          <w:szCs w:val="24"/>
          <w:lang w:val="en-US" w:bidi="ar-SA"/>
        </w:rPr>
        <w:t xml:space="preserve">附件 </w:t>
      </w:r>
      <w:r>
        <w:rPr>
          <w:rFonts w:hint="eastAsia" w:ascii="Times New Roman" w:hAnsi="Times New Roman" w:cs="Times New Roman"/>
          <w:kern w:val="21"/>
          <w:sz w:val="24"/>
          <w:szCs w:val="24"/>
          <w:lang w:val="en-US" w:bidi="ar-SA"/>
        </w:rPr>
        <w:t>6</w:t>
      </w:r>
      <w:r>
        <w:rPr>
          <w:rFonts w:ascii="Times New Roman" w:hAnsi="Times New Roman" w:cs="Times New Roman"/>
          <w:kern w:val="21"/>
          <w:sz w:val="24"/>
          <w:szCs w:val="24"/>
          <w:lang w:val="en-US" w:bidi="ar-SA"/>
        </w:rPr>
        <w:t xml:space="preserve"> 常见化学品引发水污染事故的简要处置方法</w:t>
      </w:r>
      <w:bookmarkEnd w:id="221"/>
    </w:p>
    <w:p>
      <w:pPr>
        <w:autoSpaceDE/>
        <w:autoSpaceDN/>
        <w:spacing w:line="360" w:lineRule="auto"/>
        <w:ind w:firstLine="480" w:firstLineChars="200"/>
        <w:jc w:val="both"/>
        <w:rPr>
          <w:rFonts w:ascii="Times New Roman" w:hAnsi="Times New Roman" w:cs="Times New Roman"/>
          <w:kern w:val="21"/>
          <w:sz w:val="24"/>
          <w:szCs w:val="24"/>
          <w:lang w:val="en-US" w:bidi="ar-SA"/>
        </w:rPr>
      </w:pPr>
      <w:bookmarkStart w:id="222" w:name="_Toc16058"/>
      <w:r>
        <w:rPr>
          <w:rFonts w:ascii="Times New Roman" w:hAnsi="Times New Roman" w:cs="Times New Roman"/>
          <w:kern w:val="21"/>
          <w:sz w:val="24"/>
          <w:szCs w:val="24"/>
          <w:lang w:val="en-US" w:bidi="ar-SA"/>
        </w:rPr>
        <w:t xml:space="preserve">附件 </w:t>
      </w:r>
      <w:r>
        <w:rPr>
          <w:rFonts w:hint="eastAsia" w:ascii="Times New Roman" w:hAnsi="Times New Roman" w:cs="Times New Roman"/>
          <w:kern w:val="21"/>
          <w:sz w:val="24"/>
          <w:szCs w:val="24"/>
          <w:lang w:val="en-US" w:bidi="ar-SA"/>
        </w:rPr>
        <w:t>7</w:t>
      </w:r>
      <w:r>
        <w:rPr>
          <w:rFonts w:ascii="Times New Roman" w:hAnsi="Times New Roman" w:cs="Times New Roman"/>
          <w:kern w:val="21"/>
          <w:sz w:val="24"/>
          <w:szCs w:val="24"/>
          <w:lang w:val="en-US" w:bidi="ar-SA"/>
        </w:rPr>
        <w:t xml:space="preserve"> 风险防控应急体系建设</w:t>
      </w:r>
      <w:bookmarkEnd w:id="222"/>
    </w:p>
    <w:p>
      <w:pPr>
        <w:autoSpaceDE/>
        <w:autoSpaceDN/>
        <w:spacing w:line="360" w:lineRule="auto"/>
        <w:ind w:firstLine="480" w:firstLineChars="200"/>
        <w:jc w:val="both"/>
        <w:rPr>
          <w:rFonts w:ascii="Times New Roman" w:hAnsi="Times New Roman" w:cs="Times New Roman"/>
          <w:kern w:val="21"/>
          <w:sz w:val="24"/>
          <w:szCs w:val="24"/>
          <w:lang w:val="en-US" w:bidi="ar-SA"/>
        </w:rPr>
      </w:pPr>
      <w:bookmarkStart w:id="223" w:name="_Toc16255"/>
      <w:r>
        <w:rPr>
          <w:rFonts w:ascii="Times New Roman" w:hAnsi="Times New Roman" w:cs="Times New Roman"/>
          <w:kern w:val="21"/>
          <w:sz w:val="24"/>
          <w:szCs w:val="24"/>
          <w:lang w:val="en-US" w:bidi="ar-SA"/>
        </w:rPr>
        <w:t xml:space="preserve">附件 </w:t>
      </w:r>
      <w:r>
        <w:rPr>
          <w:rFonts w:hint="eastAsia" w:ascii="Times New Roman" w:hAnsi="Times New Roman" w:cs="Times New Roman"/>
          <w:kern w:val="21"/>
          <w:sz w:val="24"/>
          <w:szCs w:val="24"/>
          <w:lang w:val="en-US" w:bidi="ar-SA"/>
        </w:rPr>
        <w:t>8</w:t>
      </w:r>
      <w:r>
        <w:rPr>
          <w:rFonts w:ascii="Times New Roman" w:hAnsi="Times New Roman" w:cs="Times New Roman"/>
          <w:kern w:val="21"/>
          <w:sz w:val="24"/>
          <w:szCs w:val="24"/>
          <w:lang w:val="en-US" w:bidi="ar-SA"/>
        </w:rPr>
        <w:t xml:space="preserve"> </w:t>
      </w:r>
      <w:r>
        <w:rPr>
          <w:rFonts w:hint="eastAsia" w:ascii="Times New Roman" w:hAnsi="Times New Roman" w:cs="Times New Roman"/>
          <w:kern w:val="21"/>
          <w:sz w:val="24"/>
          <w:szCs w:val="24"/>
          <w:lang w:val="en-US" w:bidi="ar-SA"/>
        </w:rPr>
        <w:t>赤壁市乡镇</w:t>
      </w:r>
      <w:r>
        <w:rPr>
          <w:rFonts w:ascii="Times New Roman" w:hAnsi="Times New Roman" w:cs="Times New Roman"/>
          <w:kern w:val="21"/>
          <w:sz w:val="24"/>
          <w:szCs w:val="24"/>
          <w:lang w:val="en-US" w:bidi="ar-SA"/>
        </w:rPr>
        <w:t>式集中式饮用水水源地风险源清单</w:t>
      </w:r>
      <w:bookmarkEnd w:id="223"/>
    </w:p>
    <w:p>
      <w:pPr>
        <w:autoSpaceDE/>
        <w:autoSpaceDN/>
        <w:spacing w:line="360" w:lineRule="auto"/>
        <w:ind w:firstLine="480" w:firstLineChars="200"/>
        <w:jc w:val="both"/>
        <w:rPr>
          <w:rFonts w:ascii="Times New Roman" w:hAnsi="Times New Roman" w:cs="Times New Roman"/>
          <w:kern w:val="21"/>
          <w:sz w:val="24"/>
          <w:szCs w:val="24"/>
          <w:lang w:val="en-US" w:bidi="ar-SA"/>
        </w:rPr>
      </w:pPr>
      <w:bookmarkStart w:id="224" w:name="_Toc14862"/>
      <w:r>
        <w:rPr>
          <w:rFonts w:ascii="Times New Roman" w:hAnsi="Times New Roman" w:cs="Times New Roman"/>
          <w:kern w:val="21"/>
          <w:sz w:val="24"/>
          <w:szCs w:val="24"/>
          <w:lang w:val="en-US" w:bidi="ar-SA"/>
        </w:rPr>
        <w:t xml:space="preserve">附件 </w:t>
      </w:r>
      <w:r>
        <w:rPr>
          <w:rFonts w:hint="eastAsia" w:ascii="Times New Roman" w:hAnsi="Times New Roman" w:cs="Times New Roman"/>
          <w:kern w:val="21"/>
          <w:sz w:val="24"/>
          <w:szCs w:val="24"/>
          <w:lang w:val="en-US" w:bidi="ar-SA"/>
        </w:rPr>
        <w:t>9</w:t>
      </w:r>
      <w:r>
        <w:rPr>
          <w:rFonts w:ascii="Times New Roman" w:hAnsi="Times New Roman" w:cs="Times New Roman"/>
          <w:kern w:val="21"/>
          <w:sz w:val="24"/>
          <w:szCs w:val="24"/>
          <w:lang w:val="en-US" w:bidi="ar-SA"/>
        </w:rPr>
        <w:t xml:space="preserve"> </w:t>
      </w:r>
      <w:r>
        <w:rPr>
          <w:rFonts w:hint="eastAsia" w:ascii="Times New Roman" w:hAnsi="Times New Roman" w:cs="Times New Roman"/>
          <w:kern w:val="21"/>
          <w:sz w:val="24"/>
          <w:szCs w:val="24"/>
          <w:lang w:val="en-US" w:bidi="ar-SA"/>
        </w:rPr>
        <w:t>赤壁市乡镇</w:t>
      </w:r>
      <w:r>
        <w:rPr>
          <w:rFonts w:ascii="Times New Roman" w:hAnsi="Times New Roman" w:cs="Times New Roman"/>
          <w:kern w:val="21"/>
          <w:sz w:val="24"/>
          <w:szCs w:val="24"/>
          <w:lang w:val="en-US" w:bidi="ar-SA"/>
        </w:rPr>
        <w:t>级集中式饮用水水源地突发环境事件情景应急处置措施</w:t>
      </w:r>
      <w:bookmarkEnd w:id="224"/>
    </w:p>
    <w:p>
      <w:pPr>
        <w:autoSpaceDE/>
        <w:autoSpaceDN/>
        <w:spacing w:line="360" w:lineRule="auto"/>
        <w:ind w:firstLine="480" w:firstLineChars="200"/>
        <w:jc w:val="both"/>
        <w:rPr>
          <w:rFonts w:ascii="Times New Roman" w:hAnsi="Times New Roman" w:cs="Times New Roman"/>
          <w:kern w:val="21"/>
          <w:sz w:val="24"/>
          <w:szCs w:val="24"/>
          <w:lang w:val="en-US" w:bidi="ar-SA"/>
        </w:rPr>
      </w:pPr>
    </w:p>
    <w:p>
      <w:pPr>
        <w:autoSpaceDE/>
        <w:autoSpaceDN/>
        <w:spacing w:line="360" w:lineRule="auto"/>
        <w:ind w:firstLine="480" w:firstLineChars="200"/>
        <w:jc w:val="both"/>
        <w:rPr>
          <w:rFonts w:ascii="Times New Roman" w:hAnsi="Times New Roman" w:cs="Times New Roman"/>
          <w:kern w:val="21"/>
          <w:sz w:val="24"/>
          <w:szCs w:val="24"/>
          <w:lang w:val="en-US" w:bidi="ar-SA"/>
        </w:rPr>
        <w:sectPr>
          <w:pgSz w:w="11906" w:h="16838"/>
          <w:pgMar w:top="1440" w:right="1800" w:bottom="1440" w:left="1800" w:header="1134" w:footer="992" w:gutter="0"/>
          <w:pgNumType w:fmt="numberInDash"/>
          <w:cols w:space="425" w:num="1"/>
          <w:docGrid w:type="lines" w:linePitch="312" w:charSpace="0"/>
        </w:sectPr>
      </w:pPr>
    </w:p>
    <w:p>
      <w:pPr>
        <w:pStyle w:val="3"/>
        <w:jc w:val="both"/>
        <w:rPr>
          <w:sz w:val="32"/>
          <w:szCs w:val="32"/>
        </w:rPr>
      </w:pPr>
      <w:bookmarkStart w:id="225" w:name="_Toc72337760"/>
      <w:bookmarkStart w:id="226" w:name="_Toc26792"/>
      <w:bookmarkStart w:id="227" w:name="_Toc19385"/>
      <w:r>
        <w:rPr>
          <w:rFonts w:hint="eastAsia"/>
          <w:sz w:val="32"/>
          <w:szCs w:val="32"/>
        </w:rPr>
        <w:t>附</w:t>
      </w:r>
      <w:r>
        <w:rPr>
          <w:rFonts w:hint="eastAsia"/>
          <w:sz w:val="32"/>
          <w:szCs w:val="32"/>
          <w:lang w:val="en-US"/>
        </w:rPr>
        <w:t>图</w:t>
      </w:r>
      <w:r>
        <w:rPr>
          <w:rFonts w:hint="eastAsia"/>
          <w:sz w:val="32"/>
          <w:szCs w:val="32"/>
        </w:rPr>
        <w:t xml:space="preserve"> </w:t>
      </w:r>
      <w:r>
        <w:rPr>
          <w:rFonts w:hint="eastAsia"/>
          <w:sz w:val="32"/>
          <w:szCs w:val="32"/>
          <w:lang w:val="en-US"/>
        </w:rPr>
        <w:t>1</w:t>
      </w:r>
      <w:r>
        <w:rPr>
          <w:rFonts w:hint="eastAsia"/>
          <w:sz w:val="32"/>
          <w:szCs w:val="32"/>
        </w:rPr>
        <w:t xml:space="preserve"> 赤壁市乡镇级集中式饮用水水源地保护区示意图</w:t>
      </w:r>
      <w:bookmarkEnd w:id="225"/>
      <w:bookmarkEnd w:id="226"/>
      <w:bookmarkEnd w:id="227"/>
    </w:p>
    <w:p>
      <w:pPr>
        <w:pStyle w:val="7"/>
        <w:spacing w:before="18"/>
        <w:jc w:val="center"/>
        <w:rPr>
          <w:rFonts w:ascii="Microsoft JhengHei"/>
          <w:b/>
          <w:sz w:val="13"/>
        </w:rPr>
      </w:pPr>
      <w:r>
        <w:rPr>
          <w:rFonts w:hint="eastAsia" w:ascii="Microsoft JhengHei"/>
          <w:b/>
          <w:sz w:val="13"/>
          <w:lang w:val="en-US" w:bidi="ar-SA"/>
        </w:rPr>
        <w:drawing>
          <wp:inline distT="0" distB="0" distL="114300" distR="114300">
            <wp:extent cx="8094980" cy="4819650"/>
            <wp:effectExtent l="0" t="0" r="1270" b="0"/>
            <wp:docPr id="9" name="图片 9" descr="C:/Users/pisces/AppData/Local/Temp/picturecompress_2020121110303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pisces/AppData/Local/Temp/picturecompress_20201211103039/output_1.jpgoutput_1"/>
                    <pic:cNvPicPr>
                      <a:picLocks noChangeAspect="1"/>
                    </pic:cNvPicPr>
                  </pic:nvPicPr>
                  <pic:blipFill>
                    <a:blip r:embed="rId12"/>
                    <a:stretch>
                      <a:fillRect/>
                    </a:stretch>
                  </pic:blipFill>
                  <pic:spPr>
                    <a:xfrm>
                      <a:off x="0" y="0"/>
                      <a:ext cx="8094980" cy="4819650"/>
                    </a:xfrm>
                    <a:prstGeom prst="rect">
                      <a:avLst/>
                    </a:prstGeom>
                  </pic:spPr>
                </pic:pic>
              </a:graphicData>
            </a:graphic>
          </wp:inline>
        </w:drawing>
      </w:r>
    </w:p>
    <w:p>
      <w:pPr>
        <w:pStyle w:val="7"/>
        <w:autoSpaceDE/>
        <w:autoSpaceDN/>
        <w:spacing w:line="360" w:lineRule="auto"/>
        <w:jc w:val="center"/>
        <w:rPr>
          <w:rFonts w:ascii="Times New Roman" w:hAnsi="Times New Roman" w:cs="Times New Roman"/>
          <w:b/>
          <w:bCs/>
          <w:sz w:val="24"/>
          <w:szCs w:val="22"/>
          <w:lang w:val="en-US" w:bidi="ar-SA"/>
        </w:rPr>
        <w:sectPr>
          <w:footerReference r:id="rId10" w:type="default"/>
          <w:pgSz w:w="16838" w:h="11906" w:orient="landscape"/>
          <w:pgMar w:top="1463" w:right="1440" w:bottom="1463" w:left="1440" w:header="851" w:footer="992" w:gutter="0"/>
          <w:pgNumType w:fmt="numberInDash"/>
          <w:cols w:space="720" w:num="1"/>
          <w:docGrid w:type="lines" w:linePitch="312" w:charSpace="0"/>
        </w:sectPr>
      </w:pPr>
      <w:r>
        <w:rPr>
          <w:rFonts w:hint="eastAsia" w:ascii="Times New Roman" w:hAnsi="Times New Roman" w:cs="Times New Roman"/>
          <w:b/>
          <w:bCs/>
          <w:sz w:val="24"/>
          <w:szCs w:val="22"/>
          <w:lang w:val="en-US" w:bidi="ar-SA"/>
        </w:rPr>
        <w:t>图1-1  赵李桥镇石人泉水库水源地保护区范围图</w:t>
      </w:r>
    </w:p>
    <w:p>
      <w:pPr>
        <w:pStyle w:val="7"/>
        <w:autoSpaceDE/>
        <w:autoSpaceDN/>
        <w:spacing w:line="360" w:lineRule="auto"/>
        <w:jc w:val="center"/>
        <w:rPr>
          <w:rFonts w:ascii="Times New Roman" w:hAnsi="Times New Roman" w:cs="Times New Roman"/>
          <w:b/>
          <w:bCs/>
          <w:sz w:val="24"/>
          <w:szCs w:val="22"/>
          <w:lang w:val="en-US" w:bidi="ar-SA"/>
        </w:rPr>
      </w:pPr>
      <w:r>
        <w:rPr>
          <w:rFonts w:hint="eastAsia" w:ascii="Times New Roman" w:hAnsi="Times New Roman" w:cs="Times New Roman"/>
          <w:b/>
          <w:bCs/>
          <w:sz w:val="24"/>
          <w:szCs w:val="22"/>
          <w:lang w:val="en-US" w:bidi="ar-SA"/>
        </w:rPr>
        <w:drawing>
          <wp:inline distT="0" distB="0" distL="114300" distR="114300">
            <wp:extent cx="7320915" cy="5252720"/>
            <wp:effectExtent l="0" t="0" r="13335" b="5080"/>
            <wp:docPr id="10" name="图片 10" descr="C:/Users/pisces/AppData/Local/Temp/picturecompress_2020121110321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pisces/AppData/Local/Temp/picturecompress_20201211103215/output_1.jpgoutput_1"/>
                    <pic:cNvPicPr>
                      <a:picLocks noChangeAspect="1"/>
                    </pic:cNvPicPr>
                  </pic:nvPicPr>
                  <pic:blipFill>
                    <a:blip r:embed="rId13"/>
                    <a:stretch>
                      <a:fillRect/>
                    </a:stretch>
                  </pic:blipFill>
                  <pic:spPr>
                    <a:xfrm>
                      <a:off x="0" y="0"/>
                      <a:ext cx="7320915" cy="5252720"/>
                    </a:xfrm>
                    <a:prstGeom prst="rect">
                      <a:avLst/>
                    </a:prstGeom>
                  </pic:spPr>
                </pic:pic>
              </a:graphicData>
            </a:graphic>
          </wp:inline>
        </w:drawing>
      </w:r>
    </w:p>
    <w:p>
      <w:pPr>
        <w:pStyle w:val="7"/>
        <w:autoSpaceDE/>
        <w:autoSpaceDN/>
        <w:spacing w:line="360" w:lineRule="auto"/>
        <w:jc w:val="center"/>
        <w:rPr>
          <w:rFonts w:ascii="Times New Roman" w:hAnsi="Times New Roman" w:cs="Times New Roman"/>
          <w:b/>
          <w:bCs/>
          <w:sz w:val="24"/>
          <w:szCs w:val="22"/>
          <w:lang w:val="en-US" w:bidi="ar-SA"/>
        </w:rPr>
        <w:sectPr>
          <w:pgSz w:w="16838" w:h="11906" w:orient="landscape"/>
          <w:pgMar w:top="1463" w:right="1440" w:bottom="1463" w:left="1440" w:header="851" w:footer="992" w:gutter="0"/>
          <w:pgNumType w:fmt="numberInDash"/>
          <w:cols w:space="720" w:num="1"/>
          <w:docGrid w:type="lines" w:linePitch="312" w:charSpace="0"/>
        </w:sectPr>
      </w:pPr>
      <w:r>
        <w:rPr>
          <w:rFonts w:hint="eastAsia" w:ascii="Times New Roman" w:hAnsi="Times New Roman" w:cs="Times New Roman"/>
          <w:b/>
          <w:bCs/>
          <w:sz w:val="24"/>
          <w:szCs w:val="22"/>
          <w:lang w:val="en-US" w:bidi="ar-SA"/>
        </w:rPr>
        <w:t>图1-2  茶庵岭镇白石水库水源地保护区范围图</w:t>
      </w:r>
    </w:p>
    <w:p>
      <w:pPr>
        <w:pStyle w:val="7"/>
        <w:autoSpaceDE/>
        <w:autoSpaceDN/>
        <w:spacing w:line="360" w:lineRule="auto"/>
        <w:jc w:val="center"/>
        <w:rPr>
          <w:rFonts w:ascii="Times New Roman" w:hAnsi="Times New Roman" w:cs="Times New Roman"/>
          <w:b/>
          <w:bCs/>
          <w:sz w:val="24"/>
          <w:szCs w:val="22"/>
          <w:lang w:val="en-US" w:bidi="ar-SA"/>
        </w:rPr>
      </w:pPr>
      <w:r>
        <w:rPr>
          <w:rFonts w:hint="eastAsia" w:ascii="Times New Roman" w:hAnsi="Times New Roman" w:cs="Times New Roman"/>
          <w:b/>
          <w:bCs/>
          <w:sz w:val="24"/>
          <w:szCs w:val="22"/>
          <w:lang w:val="en-US" w:bidi="ar-SA"/>
        </w:rPr>
        <w:drawing>
          <wp:inline distT="0" distB="0" distL="114300" distR="114300">
            <wp:extent cx="7776845" cy="5276850"/>
            <wp:effectExtent l="0" t="0" r="14605" b="0"/>
            <wp:docPr id="11" name="图片 11" descr="C:/Users/pisces/AppData/Local/Temp/picturecompress_2020121110323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pisces/AppData/Local/Temp/picturecompress_20201211103236/output_1.jpgoutput_1"/>
                    <pic:cNvPicPr>
                      <a:picLocks noChangeAspect="1"/>
                    </pic:cNvPicPr>
                  </pic:nvPicPr>
                  <pic:blipFill>
                    <a:blip r:embed="rId14"/>
                    <a:stretch>
                      <a:fillRect/>
                    </a:stretch>
                  </pic:blipFill>
                  <pic:spPr>
                    <a:xfrm>
                      <a:off x="0" y="0"/>
                      <a:ext cx="7776845" cy="5276850"/>
                    </a:xfrm>
                    <a:prstGeom prst="rect">
                      <a:avLst/>
                    </a:prstGeom>
                  </pic:spPr>
                </pic:pic>
              </a:graphicData>
            </a:graphic>
          </wp:inline>
        </w:drawing>
      </w:r>
    </w:p>
    <w:p>
      <w:pPr>
        <w:pStyle w:val="7"/>
        <w:autoSpaceDE/>
        <w:autoSpaceDN/>
        <w:spacing w:line="360" w:lineRule="auto"/>
        <w:jc w:val="center"/>
        <w:rPr>
          <w:rFonts w:ascii="Times New Roman" w:hAnsi="Times New Roman" w:cs="Times New Roman"/>
          <w:b/>
          <w:bCs/>
          <w:sz w:val="24"/>
          <w:szCs w:val="22"/>
          <w:lang w:val="en-US" w:bidi="ar-SA"/>
        </w:rPr>
        <w:sectPr>
          <w:pgSz w:w="16838" w:h="11906" w:orient="landscape"/>
          <w:pgMar w:top="1463" w:right="1440" w:bottom="1463" w:left="1440" w:header="851" w:footer="992" w:gutter="0"/>
          <w:pgNumType w:fmt="numberInDash"/>
          <w:cols w:space="720" w:num="1"/>
          <w:docGrid w:type="lines" w:linePitch="312" w:charSpace="0"/>
        </w:sectPr>
      </w:pPr>
      <w:r>
        <w:rPr>
          <w:rFonts w:hint="eastAsia" w:ascii="Times New Roman" w:hAnsi="Times New Roman" w:cs="Times New Roman"/>
          <w:b/>
          <w:bCs/>
          <w:sz w:val="24"/>
          <w:szCs w:val="22"/>
          <w:lang w:val="en-US" w:bidi="ar-SA"/>
        </w:rPr>
        <w:t>图1-3  车埠镇燎燃水库水源地保护区范围图</w:t>
      </w:r>
    </w:p>
    <w:p>
      <w:pPr>
        <w:pStyle w:val="7"/>
        <w:autoSpaceDE/>
        <w:autoSpaceDN/>
        <w:spacing w:line="360" w:lineRule="auto"/>
        <w:jc w:val="center"/>
        <w:rPr>
          <w:rFonts w:ascii="Times New Roman" w:hAnsi="Times New Roman" w:cs="Times New Roman"/>
          <w:b/>
          <w:bCs/>
          <w:sz w:val="24"/>
          <w:szCs w:val="22"/>
          <w:lang w:val="en-US" w:bidi="ar-SA"/>
        </w:rPr>
      </w:pPr>
      <w:r>
        <w:rPr>
          <w:rFonts w:hint="eastAsia" w:ascii="Times New Roman" w:hAnsi="Times New Roman" w:cs="Times New Roman"/>
          <w:b/>
          <w:bCs/>
          <w:sz w:val="24"/>
          <w:szCs w:val="22"/>
          <w:lang w:val="en-US" w:bidi="ar-SA"/>
        </w:rPr>
        <w:drawing>
          <wp:inline distT="0" distB="0" distL="114300" distR="114300">
            <wp:extent cx="7283450" cy="5325745"/>
            <wp:effectExtent l="0" t="0" r="12700" b="8255"/>
            <wp:docPr id="3" name="图片 3" descr="C:/Users/pisces/AppData/Local/Temp/picturecompress_2020121110330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pisces/AppData/Local/Temp/picturecompress_20201211103300/output_1.jpgoutput_1"/>
                    <pic:cNvPicPr>
                      <a:picLocks noChangeAspect="1"/>
                    </pic:cNvPicPr>
                  </pic:nvPicPr>
                  <pic:blipFill>
                    <a:blip r:embed="rId15"/>
                    <a:stretch>
                      <a:fillRect/>
                    </a:stretch>
                  </pic:blipFill>
                  <pic:spPr>
                    <a:xfrm>
                      <a:off x="0" y="0"/>
                      <a:ext cx="7283450" cy="5325745"/>
                    </a:xfrm>
                    <a:prstGeom prst="rect">
                      <a:avLst/>
                    </a:prstGeom>
                  </pic:spPr>
                </pic:pic>
              </a:graphicData>
            </a:graphic>
          </wp:inline>
        </w:drawing>
      </w:r>
    </w:p>
    <w:p>
      <w:pPr>
        <w:pStyle w:val="7"/>
        <w:autoSpaceDE/>
        <w:autoSpaceDN/>
        <w:spacing w:line="360" w:lineRule="auto"/>
        <w:jc w:val="center"/>
        <w:rPr>
          <w:rFonts w:ascii="Times New Roman" w:hAnsi="Times New Roman" w:cs="Times New Roman"/>
          <w:b/>
          <w:bCs/>
          <w:sz w:val="24"/>
          <w:szCs w:val="22"/>
          <w:lang w:val="en-US" w:bidi="ar-SA"/>
        </w:rPr>
        <w:sectPr>
          <w:pgSz w:w="16838" w:h="11906" w:orient="landscape"/>
          <w:pgMar w:top="1463" w:right="1440" w:bottom="1463" w:left="1440" w:header="851" w:footer="992" w:gutter="0"/>
          <w:pgNumType w:fmt="numberInDash"/>
          <w:cols w:space="720" w:num="1"/>
          <w:docGrid w:type="lines" w:linePitch="312" w:charSpace="0"/>
        </w:sectPr>
      </w:pPr>
      <w:r>
        <w:rPr>
          <w:rFonts w:hint="eastAsia" w:ascii="Times New Roman" w:hAnsi="Times New Roman" w:cs="Times New Roman"/>
          <w:b/>
          <w:bCs/>
          <w:sz w:val="24"/>
          <w:szCs w:val="22"/>
          <w:lang w:val="en-US" w:bidi="ar-SA"/>
        </w:rPr>
        <w:t>图1-4  柳山湖镇松柏湖水库水源地保护区范围图</w:t>
      </w:r>
    </w:p>
    <w:p>
      <w:pPr>
        <w:pStyle w:val="7"/>
        <w:autoSpaceDE/>
        <w:autoSpaceDN/>
        <w:spacing w:line="360" w:lineRule="auto"/>
        <w:jc w:val="center"/>
        <w:rPr>
          <w:rFonts w:ascii="Times New Roman" w:hAnsi="Times New Roman" w:cs="Times New Roman"/>
          <w:b/>
          <w:bCs/>
          <w:sz w:val="24"/>
          <w:szCs w:val="22"/>
          <w:lang w:val="en-US" w:bidi="ar-SA"/>
        </w:rPr>
      </w:pPr>
      <w:r>
        <w:rPr>
          <w:rFonts w:hint="eastAsia" w:ascii="Times New Roman" w:hAnsi="Times New Roman" w:cs="Times New Roman"/>
          <w:b/>
          <w:bCs/>
          <w:sz w:val="24"/>
          <w:szCs w:val="22"/>
          <w:lang w:val="en-US" w:bidi="ar-SA"/>
        </w:rPr>
        <w:drawing>
          <wp:inline distT="0" distB="0" distL="114300" distR="114300">
            <wp:extent cx="7268845" cy="5314950"/>
            <wp:effectExtent l="0" t="0" r="8255" b="0"/>
            <wp:docPr id="13" name="图片 13" descr="C:/Users/pisces/AppData/Local/Temp/picturecompress_2020121110332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pisces/AppData/Local/Temp/picturecompress_20201211103321/output_1.jpgoutput_1"/>
                    <pic:cNvPicPr>
                      <a:picLocks noChangeAspect="1"/>
                    </pic:cNvPicPr>
                  </pic:nvPicPr>
                  <pic:blipFill>
                    <a:blip r:embed="rId16"/>
                    <a:stretch>
                      <a:fillRect/>
                    </a:stretch>
                  </pic:blipFill>
                  <pic:spPr>
                    <a:xfrm>
                      <a:off x="0" y="0"/>
                      <a:ext cx="7268845" cy="5314950"/>
                    </a:xfrm>
                    <a:prstGeom prst="rect">
                      <a:avLst/>
                    </a:prstGeom>
                  </pic:spPr>
                </pic:pic>
              </a:graphicData>
            </a:graphic>
          </wp:inline>
        </w:drawing>
      </w:r>
    </w:p>
    <w:p>
      <w:pPr>
        <w:pStyle w:val="7"/>
        <w:autoSpaceDE/>
        <w:autoSpaceDN/>
        <w:spacing w:line="360" w:lineRule="auto"/>
        <w:jc w:val="center"/>
        <w:rPr>
          <w:rFonts w:ascii="Times New Roman" w:hAnsi="Times New Roman" w:cs="Times New Roman"/>
          <w:b/>
          <w:bCs/>
          <w:sz w:val="24"/>
          <w:szCs w:val="22"/>
          <w:lang w:val="en-US" w:bidi="ar-SA"/>
        </w:rPr>
        <w:sectPr>
          <w:pgSz w:w="16838" w:h="11906" w:orient="landscape"/>
          <w:pgMar w:top="1463" w:right="1440" w:bottom="1463" w:left="1440" w:header="851" w:footer="992" w:gutter="0"/>
          <w:pgNumType w:fmt="numberInDash"/>
          <w:cols w:space="720" w:num="1"/>
          <w:docGrid w:type="lines" w:linePitch="312" w:charSpace="0"/>
        </w:sectPr>
      </w:pPr>
      <w:r>
        <w:rPr>
          <w:rFonts w:hint="eastAsia" w:ascii="Times New Roman" w:hAnsi="Times New Roman" w:cs="Times New Roman"/>
          <w:b/>
          <w:bCs/>
          <w:sz w:val="24"/>
          <w:szCs w:val="22"/>
          <w:lang w:val="en-US" w:bidi="ar-SA"/>
        </w:rPr>
        <w:t>图1-5  赤壁镇上矶水源地保护区范围图</w:t>
      </w:r>
    </w:p>
    <w:p>
      <w:pPr>
        <w:pStyle w:val="7"/>
        <w:autoSpaceDE/>
        <w:autoSpaceDN/>
        <w:spacing w:line="360" w:lineRule="auto"/>
        <w:jc w:val="center"/>
        <w:rPr>
          <w:rFonts w:ascii="Times New Roman" w:hAnsi="Times New Roman" w:cs="Times New Roman"/>
          <w:b/>
          <w:bCs/>
          <w:sz w:val="24"/>
          <w:szCs w:val="22"/>
          <w:lang w:val="en-US" w:bidi="ar-SA"/>
        </w:rPr>
      </w:pPr>
      <w:r>
        <w:rPr>
          <w:rFonts w:hint="eastAsia" w:ascii="Times New Roman" w:hAnsi="Times New Roman" w:cs="Times New Roman"/>
          <w:b/>
          <w:bCs/>
          <w:sz w:val="24"/>
          <w:szCs w:val="22"/>
          <w:lang w:val="en-US" w:bidi="ar-SA"/>
        </w:rPr>
        <w:drawing>
          <wp:inline distT="0" distB="0" distL="114300" distR="114300">
            <wp:extent cx="7699375" cy="5326380"/>
            <wp:effectExtent l="0" t="0" r="15875" b="7620"/>
            <wp:docPr id="14" name="图片 14" descr="C:/Users/pisces/AppData/Local/Temp/picturecompress_2020121110334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pisces/AppData/Local/Temp/picturecompress_20201211103347/output_1.jpgoutput_1"/>
                    <pic:cNvPicPr>
                      <a:picLocks noChangeAspect="1"/>
                    </pic:cNvPicPr>
                  </pic:nvPicPr>
                  <pic:blipFill>
                    <a:blip r:embed="rId17"/>
                    <a:stretch>
                      <a:fillRect/>
                    </a:stretch>
                  </pic:blipFill>
                  <pic:spPr>
                    <a:xfrm>
                      <a:off x="0" y="0"/>
                      <a:ext cx="7699375" cy="5326380"/>
                    </a:xfrm>
                    <a:prstGeom prst="rect">
                      <a:avLst/>
                    </a:prstGeom>
                  </pic:spPr>
                </pic:pic>
              </a:graphicData>
            </a:graphic>
          </wp:inline>
        </w:drawing>
      </w:r>
    </w:p>
    <w:p>
      <w:pPr>
        <w:pStyle w:val="7"/>
        <w:autoSpaceDE/>
        <w:autoSpaceDN/>
        <w:spacing w:line="360" w:lineRule="auto"/>
        <w:jc w:val="center"/>
        <w:rPr>
          <w:rFonts w:ascii="Times New Roman" w:hAnsi="Times New Roman" w:cs="Times New Roman"/>
          <w:b/>
          <w:bCs/>
          <w:sz w:val="24"/>
          <w:szCs w:val="22"/>
          <w:lang w:val="en-US" w:bidi="ar-SA"/>
        </w:rPr>
        <w:sectPr>
          <w:pgSz w:w="16838" w:h="11906" w:orient="landscape"/>
          <w:pgMar w:top="1463" w:right="1440" w:bottom="1463" w:left="1440" w:header="851" w:footer="992" w:gutter="0"/>
          <w:pgNumType w:fmt="numberInDash"/>
          <w:cols w:space="720" w:num="1"/>
          <w:docGrid w:type="lines" w:linePitch="312" w:charSpace="0"/>
        </w:sectPr>
      </w:pPr>
      <w:r>
        <w:rPr>
          <w:rFonts w:hint="eastAsia" w:ascii="Times New Roman" w:hAnsi="Times New Roman" w:cs="Times New Roman"/>
          <w:b/>
          <w:bCs/>
          <w:sz w:val="24"/>
          <w:szCs w:val="22"/>
          <w:lang w:val="en-US" w:bidi="ar-SA"/>
        </w:rPr>
        <w:t>图1-6  黄盖湖镇前进水库水源地保护区范围图</w:t>
      </w:r>
    </w:p>
    <w:p>
      <w:pPr>
        <w:pStyle w:val="7"/>
        <w:autoSpaceDE/>
        <w:autoSpaceDN/>
        <w:spacing w:line="360" w:lineRule="auto"/>
        <w:jc w:val="center"/>
        <w:rPr>
          <w:rFonts w:ascii="Times New Roman" w:hAnsi="Times New Roman" w:cs="Times New Roman"/>
          <w:b/>
          <w:bCs/>
          <w:sz w:val="24"/>
          <w:szCs w:val="22"/>
          <w:lang w:val="en-US" w:bidi="ar-SA"/>
        </w:rPr>
      </w:pPr>
      <w:r>
        <w:rPr>
          <w:rFonts w:hint="eastAsia" w:ascii="Times New Roman" w:hAnsi="Times New Roman" w:cs="Times New Roman"/>
          <w:b/>
          <w:bCs/>
          <w:sz w:val="24"/>
          <w:szCs w:val="22"/>
          <w:lang w:val="en-US" w:bidi="ar-SA"/>
        </w:rPr>
        <w:drawing>
          <wp:inline distT="0" distB="0" distL="114300" distR="114300">
            <wp:extent cx="7087870" cy="5253355"/>
            <wp:effectExtent l="0" t="0" r="17780" b="4445"/>
            <wp:docPr id="15" name="图片 15" descr="C:/Users/pisces/AppData/Local/Temp/picturecompress_2020121110340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pisces/AppData/Local/Temp/picturecompress_20201211103407/output_1.jpgoutput_1"/>
                    <pic:cNvPicPr>
                      <a:picLocks noChangeAspect="1"/>
                    </pic:cNvPicPr>
                  </pic:nvPicPr>
                  <pic:blipFill>
                    <a:blip r:embed="rId18"/>
                    <a:stretch>
                      <a:fillRect/>
                    </a:stretch>
                  </pic:blipFill>
                  <pic:spPr>
                    <a:xfrm>
                      <a:off x="0" y="0"/>
                      <a:ext cx="7087870" cy="5253355"/>
                    </a:xfrm>
                    <a:prstGeom prst="rect">
                      <a:avLst/>
                    </a:prstGeom>
                  </pic:spPr>
                </pic:pic>
              </a:graphicData>
            </a:graphic>
          </wp:inline>
        </w:drawing>
      </w:r>
    </w:p>
    <w:p>
      <w:pPr>
        <w:pStyle w:val="7"/>
        <w:autoSpaceDE/>
        <w:autoSpaceDN/>
        <w:spacing w:line="360" w:lineRule="auto"/>
        <w:jc w:val="center"/>
        <w:rPr>
          <w:rFonts w:ascii="Times New Roman" w:hAnsi="Times New Roman" w:cs="Times New Roman"/>
          <w:b/>
          <w:bCs/>
          <w:sz w:val="24"/>
          <w:szCs w:val="22"/>
          <w:lang w:val="en-US" w:bidi="ar-SA"/>
        </w:rPr>
        <w:sectPr>
          <w:pgSz w:w="16838" w:h="11906" w:orient="landscape"/>
          <w:pgMar w:top="1463" w:right="1440" w:bottom="1463" w:left="1440" w:header="851" w:footer="992" w:gutter="0"/>
          <w:pgNumType w:fmt="numberInDash"/>
          <w:cols w:space="720" w:num="1"/>
          <w:docGrid w:type="lines" w:linePitch="312" w:charSpace="0"/>
        </w:sectPr>
      </w:pPr>
      <w:r>
        <w:rPr>
          <w:rFonts w:hint="eastAsia" w:ascii="Times New Roman" w:hAnsi="Times New Roman" w:cs="Times New Roman"/>
          <w:b/>
          <w:bCs/>
          <w:sz w:val="24"/>
          <w:szCs w:val="22"/>
          <w:lang w:val="en-US" w:bidi="ar-SA"/>
        </w:rPr>
        <w:t>图1-7 官塘驿镇双石水库水源地保护区范围图</w:t>
      </w:r>
    </w:p>
    <w:p>
      <w:pPr>
        <w:pStyle w:val="7"/>
        <w:autoSpaceDE/>
        <w:autoSpaceDN/>
        <w:spacing w:line="360" w:lineRule="auto"/>
        <w:jc w:val="center"/>
        <w:rPr>
          <w:rFonts w:ascii="Times New Roman" w:hAnsi="Times New Roman" w:cs="Times New Roman"/>
          <w:b/>
          <w:bCs/>
          <w:sz w:val="24"/>
          <w:szCs w:val="22"/>
          <w:lang w:val="en-US" w:bidi="ar-SA"/>
        </w:rPr>
      </w:pPr>
      <w:r>
        <w:rPr>
          <w:rFonts w:hint="eastAsia" w:ascii="Times New Roman" w:hAnsi="Times New Roman" w:cs="Times New Roman"/>
          <w:b/>
          <w:bCs/>
          <w:sz w:val="24"/>
          <w:szCs w:val="22"/>
          <w:lang w:val="en-US" w:bidi="ar-SA"/>
        </w:rPr>
        <w:drawing>
          <wp:inline distT="0" distB="0" distL="114300" distR="114300">
            <wp:extent cx="7700010" cy="5327015"/>
            <wp:effectExtent l="0" t="0" r="15240" b="6985"/>
            <wp:docPr id="16" name="图片 16" descr="C:/Users/pisces/AppData/Local/Temp/picturecompress_2020121110343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pisces/AppData/Local/Temp/picturecompress_20201211103434/output_1.jpgoutput_1"/>
                    <pic:cNvPicPr>
                      <a:picLocks noChangeAspect="1"/>
                    </pic:cNvPicPr>
                  </pic:nvPicPr>
                  <pic:blipFill>
                    <a:blip r:embed="rId19"/>
                    <a:stretch>
                      <a:fillRect/>
                    </a:stretch>
                  </pic:blipFill>
                  <pic:spPr>
                    <a:xfrm>
                      <a:off x="0" y="0"/>
                      <a:ext cx="7700010" cy="5327015"/>
                    </a:xfrm>
                    <a:prstGeom prst="rect">
                      <a:avLst/>
                    </a:prstGeom>
                  </pic:spPr>
                </pic:pic>
              </a:graphicData>
            </a:graphic>
          </wp:inline>
        </w:drawing>
      </w:r>
    </w:p>
    <w:p>
      <w:pPr>
        <w:pStyle w:val="7"/>
        <w:autoSpaceDE/>
        <w:autoSpaceDN/>
        <w:spacing w:line="360" w:lineRule="auto"/>
        <w:jc w:val="center"/>
        <w:rPr>
          <w:rFonts w:ascii="Times New Roman" w:hAnsi="Times New Roman" w:cs="Times New Roman"/>
          <w:b/>
          <w:bCs/>
          <w:sz w:val="24"/>
          <w:szCs w:val="22"/>
          <w:lang w:val="en-US" w:bidi="ar-SA"/>
        </w:rPr>
        <w:sectPr>
          <w:pgSz w:w="16838" w:h="11906" w:orient="landscape"/>
          <w:pgMar w:top="1463" w:right="1440" w:bottom="1463" w:left="1440" w:header="851" w:footer="992" w:gutter="0"/>
          <w:pgNumType w:fmt="numberInDash"/>
          <w:cols w:space="720" w:num="1"/>
          <w:docGrid w:type="lines" w:linePitch="312" w:charSpace="0"/>
        </w:sectPr>
      </w:pPr>
      <w:r>
        <w:rPr>
          <w:rFonts w:hint="eastAsia" w:ascii="Times New Roman" w:hAnsi="Times New Roman" w:cs="Times New Roman"/>
          <w:b/>
          <w:bCs/>
          <w:sz w:val="24"/>
          <w:szCs w:val="22"/>
          <w:lang w:val="en-US" w:bidi="ar-SA"/>
        </w:rPr>
        <w:t>图1-8 神山镇张家坝水库水源地保护区范围图</w:t>
      </w:r>
    </w:p>
    <w:p>
      <w:pPr>
        <w:pStyle w:val="7"/>
        <w:autoSpaceDE/>
        <w:autoSpaceDN/>
        <w:spacing w:line="360" w:lineRule="auto"/>
        <w:jc w:val="center"/>
        <w:rPr>
          <w:rFonts w:ascii="Times New Roman" w:hAnsi="Times New Roman" w:cs="Times New Roman"/>
          <w:b/>
          <w:bCs/>
          <w:sz w:val="24"/>
          <w:szCs w:val="22"/>
          <w:lang w:val="en-US" w:bidi="ar-SA"/>
        </w:rPr>
      </w:pPr>
      <w:r>
        <w:rPr>
          <w:rFonts w:hint="eastAsia" w:ascii="Times New Roman" w:hAnsi="Times New Roman" w:cs="Times New Roman"/>
          <w:b/>
          <w:bCs/>
          <w:sz w:val="24"/>
          <w:szCs w:val="22"/>
          <w:lang w:val="en-US" w:bidi="ar-SA"/>
        </w:rPr>
        <w:drawing>
          <wp:inline distT="0" distB="0" distL="114300" distR="114300">
            <wp:extent cx="7581265" cy="5249545"/>
            <wp:effectExtent l="0" t="0" r="635" b="8255"/>
            <wp:docPr id="17" name="图片 17" descr="C:/Users/pisces/AppData/Local/Temp/picturecompress_2020121110351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pisces/AppData/Local/Temp/picturecompress_20201211103510/output_1.jpgoutput_1"/>
                    <pic:cNvPicPr>
                      <a:picLocks noChangeAspect="1"/>
                    </pic:cNvPicPr>
                  </pic:nvPicPr>
                  <pic:blipFill>
                    <a:blip r:embed="rId20"/>
                    <a:stretch>
                      <a:fillRect/>
                    </a:stretch>
                  </pic:blipFill>
                  <pic:spPr>
                    <a:xfrm>
                      <a:off x="0" y="0"/>
                      <a:ext cx="7581265" cy="5249545"/>
                    </a:xfrm>
                    <a:prstGeom prst="rect">
                      <a:avLst/>
                    </a:prstGeom>
                  </pic:spPr>
                </pic:pic>
              </a:graphicData>
            </a:graphic>
          </wp:inline>
        </w:drawing>
      </w:r>
    </w:p>
    <w:p>
      <w:pPr>
        <w:pStyle w:val="7"/>
        <w:autoSpaceDE/>
        <w:autoSpaceDN/>
        <w:spacing w:line="360" w:lineRule="auto"/>
        <w:jc w:val="center"/>
        <w:rPr>
          <w:rFonts w:ascii="Times New Roman" w:hAnsi="Times New Roman" w:cs="Times New Roman"/>
          <w:b/>
          <w:bCs/>
          <w:sz w:val="24"/>
          <w:szCs w:val="22"/>
          <w:lang w:val="en-US" w:bidi="ar-SA"/>
        </w:rPr>
        <w:sectPr>
          <w:pgSz w:w="16838" w:h="11906" w:orient="landscape"/>
          <w:pgMar w:top="1463" w:right="1440" w:bottom="1463" w:left="1440" w:header="851" w:footer="992" w:gutter="0"/>
          <w:pgNumType w:fmt="numberInDash"/>
          <w:cols w:space="720" w:num="1"/>
          <w:docGrid w:type="lines" w:linePitch="312" w:charSpace="0"/>
        </w:sectPr>
      </w:pPr>
      <w:r>
        <w:rPr>
          <w:rFonts w:hint="eastAsia" w:ascii="Times New Roman" w:hAnsi="Times New Roman" w:cs="Times New Roman"/>
          <w:b/>
          <w:bCs/>
          <w:sz w:val="24"/>
          <w:szCs w:val="22"/>
          <w:lang w:val="en-US" w:bidi="ar-SA"/>
        </w:rPr>
        <w:t>图1-9 新店镇皤河水源地保护区范围图</w:t>
      </w:r>
    </w:p>
    <w:p>
      <w:pPr>
        <w:pStyle w:val="3"/>
        <w:jc w:val="both"/>
        <w:rPr>
          <w:sz w:val="32"/>
          <w:szCs w:val="32"/>
          <w:lang w:val="en-US"/>
        </w:rPr>
      </w:pPr>
      <w:bookmarkStart w:id="228" w:name="_Toc2568"/>
      <w:bookmarkStart w:id="229" w:name="_Toc27359"/>
      <w:bookmarkStart w:id="230" w:name="_Toc72337761"/>
      <w:r>
        <w:rPr>
          <w:rFonts w:hint="eastAsia"/>
          <w:sz w:val="32"/>
          <w:szCs w:val="32"/>
        </w:rPr>
        <w:t>附</w:t>
      </w:r>
      <w:r>
        <w:rPr>
          <w:rFonts w:hint="eastAsia"/>
          <w:sz w:val="32"/>
          <w:szCs w:val="32"/>
          <w:lang w:val="en-US"/>
        </w:rPr>
        <w:t>图</w:t>
      </w:r>
      <w:r>
        <w:rPr>
          <w:rFonts w:hint="eastAsia"/>
          <w:sz w:val="32"/>
          <w:szCs w:val="32"/>
        </w:rPr>
        <w:t xml:space="preserve"> </w:t>
      </w:r>
      <w:r>
        <w:rPr>
          <w:rFonts w:hint="eastAsia"/>
          <w:sz w:val="32"/>
          <w:szCs w:val="32"/>
          <w:lang w:val="en-US"/>
        </w:rPr>
        <w:t>2</w:t>
      </w:r>
      <w:r>
        <w:rPr>
          <w:rFonts w:hint="eastAsia"/>
          <w:sz w:val="32"/>
          <w:szCs w:val="32"/>
        </w:rPr>
        <w:t xml:space="preserve"> </w:t>
      </w:r>
      <w:r>
        <w:rPr>
          <w:rFonts w:hint="eastAsia"/>
          <w:sz w:val="32"/>
          <w:szCs w:val="32"/>
          <w:lang w:val="en-US"/>
        </w:rPr>
        <w:t xml:space="preserve"> </w:t>
      </w:r>
      <w:r>
        <w:rPr>
          <w:rFonts w:hint="eastAsia"/>
          <w:sz w:val="32"/>
          <w:szCs w:val="32"/>
        </w:rPr>
        <w:t>突发污染事件应急处置工作流程</w:t>
      </w:r>
      <w:r>
        <w:rPr>
          <w:rFonts w:hint="eastAsia"/>
          <w:sz w:val="32"/>
          <w:szCs w:val="32"/>
          <w:lang w:val="en-US"/>
        </w:rPr>
        <w:t>图</w:t>
      </w:r>
      <w:bookmarkEnd w:id="228"/>
      <w:bookmarkEnd w:id="229"/>
      <w:bookmarkEnd w:id="230"/>
    </w:p>
    <w:p>
      <w:pPr>
        <w:autoSpaceDE/>
        <w:autoSpaceDN/>
        <w:spacing w:line="360" w:lineRule="auto"/>
        <w:jc w:val="center"/>
        <w:rPr>
          <w:rFonts w:ascii="Times New Roman" w:hAnsi="Times New Roman" w:cs="Times New Roman"/>
          <w:kern w:val="21"/>
          <w:sz w:val="24"/>
          <w:szCs w:val="24"/>
          <w:lang w:val="en-US" w:bidi="ar-SA"/>
        </w:rPr>
      </w:pPr>
      <w:r>
        <w:rPr>
          <w:lang w:val="en-US" w:bidi="ar-SA"/>
        </w:rPr>
        <w:drawing>
          <wp:inline distT="0" distB="0" distL="114300" distR="114300">
            <wp:extent cx="5269230" cy="708660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269230" cy="7086600"/>
                    </a:xfrm>
                    <a:prstGeom prst="rect">
                      <a:avLst/>
                    </a:prstGeom>
                    <a:noFill/>
                    <a:ln>
                      <a:noFill/>
                    </a:ln>
                  </pic:spPr>
                </pic:pic>
              </a:graphicData>
            </a:graphic>
          </wp:inline>
        </w:drawing>
      </w:r>
    </w:p>
    <w:p>
      <w:pPr>
        <w:pStyle w:val="22"/>
        <w:rPr>
          <w:rFonts w:ascii="Times New Roman" w:hAnsi="Times New Roman"/>
          <w:color w:val="auto"/>
          <w:szCs w:val="24"/>
        </w:rPr>
      </w:pPr>
    </w:p>
    <w:p>
      <w:pPr>
        <w:pStyle w:val="22"/>
        <w:rPr>
          <w:rFonts w:ascii="Times New Roman" w:hAnsi="Times New Roman"/>
          <w:color w:val="auto"/>
          <w:szCs w:val="24"/>
        </w:rPr>
        <w:sectPr>
          <w:pgSz w:w="11906" w:h="16838"/>
          <w:pgMar w:top="1440" w:right="1800" w:bottom="1440" w:left="1800" w:header="1134" w:footer="992" w:gutter="0"/>
          <w:pgNumType w:fmt="numberInDash"/>
          <w:cols w:space="425" w:num="1"/>
          <w:docGrid w:type="lines" w:linePitch="312" w:charSpace="0"/>
        </w:sectPr>
      </w:pPr>
    </w:p>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Pr>
        <w:pStyle w:val="3"/>
        <w:jc w:val="both"/>
        <w:rPr>
          <w:sz w:val="32"/>
          <w:szCs w:val="32"/>
        </w:rPr>
      </w:pPr>
      <w:bookmarkStart w:id="231" w:name="_Toc22829"/>
      <w:bookmarkStart w:id="232" w:name="_Toc72337762"/>
      <w:bookmarkStart w:id="233" w:name="_Toc18538"/>
      <w:r>
        <w:rPr>
          <w:rFonts w:hint="eastAsia"/>
          <w:sz w:val="32"/>
          <w:szCs w:val="32"/>
        </w:rPr>
        <w:t xml:space="preserve">附件 </w:t>
      </w:r>
      <w:r>
        <w:rPr>
          <w:rFonts w:hint="eastAsia"/>
          <w:sz w:val="32"/>
          <w:szCs w:val="32"/>
          <w:lang w:val="en-US"/>
        </w:rPr>
        <w:t>1</w:t>
      </w:r>
      <w:r>
        <w:rPr>
          <w:rFonts w:hint="eastAsia"/>
          <w:sz w:val="32"/>
          <w:szCs w:val="32"/>
        </w:rPr>
        <w:t xml:space="preserve"> 赤壁市乡镇级集中式饮用水水源地概况</w:t>
      </w:r>
      <w:bookmarkEnd w:id="231"/>
      <w:bookmarkEnd w:id="232"/>
      <w:bookmarkEnd w:id="233"/>
    </w:p>
    <w:p>
      <w:pPr>
        <w:pStyle w:val="7"/>
        <w:spacing w:line="360" w:lineRule="auto"/>
        <w:ind w:firstLine="631"/>
        <w:jc w:val="both"/>
        <w:rPr>
          <w:spacing w:val="6"/>
        </w:rPr>
      </w:pPr>
      <w:r>
        <w:rPr>
          <w:rFonts w:hint="eastAsia"/>
          <w:spacing w:val="6"/>
          <w:lang w:val="en-US"/>
        </w:rPr>
        <w:t>赤壁市现有乡镇水源地9个，水库型水源地7个，河流型水源地2个</w:t>
      </w:r>
      <w:r>
        <w:rPr>
          <w:spacing w:val="6"/>
        </w:rPr>
        <w:t>。</w:t>
      </w:r>
      <w:r>
        <w:rPr>
          <w:rFonts w:hint="eastAsia"/>
          <w:spacing w:val="6"/>
        </w:rPr>
        <w:t>赤壁市乡镇</w:t>
      </w:r>
      <w:r>
        <w:rPr>
          <w:spacing w:val="6"/>
        </w:rPr>
        <w:t>级集中式饮用水水源保护区划分均已批复。</w:t>
      </w:r>
    </w:p>
    <w:p>
      <w:pPr>
        <w:pStyle w:val="7"/>
        <w:autoSpaceDE/>
        <w:autoSpaceDN/>
        <w:spacing w:line="360" w:lineRule="auto"/>
        <w:jc w:val="center"/>
        <w:rPr>
          <w:rFonts w:ascii="Times New Roman" w:hAnsi="Times New Roman" w:cs="Times New Roman"/>
          <w:b/>
          <w:bCs/>
          <w:sz w:val="24"/>
          <w:szCs w:val="22"/>
          <w:lang w:val="en-US" w:bidi="ar-SA"/>
        </w:rPr>
      </w:pPr>
      <w:r>
        <w:rPr>
          <w:rFonts w:hint="eastAsia" w:ascii="Times New Roman" w:hAnsi="Times New Roman" w:cs="Times New Roman"/>
          <w:b/>
          <w:bCs/>
          <w:sz w:val="24"/>
          <w:szCs w:val="22"/>
          <w:lang w:val="en-US" w:bidi="ar-SA"/>
        </w:rPr>
        <w:t>赤壁市乡镇饮用水水源地基本信息汇总表</w:t>
      </w:r>
    </w:p>
    <w:tbl>
      <w:tblPr>
        <w:tblStyle w:val="20"/>
        <w:tblW w:w="851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7"/>
        <w:gridCol w:w="1001"/>
        <w:gridCol w:w="1084"/>
        <w:gridCol w:w="1076"/>
        <w:gridCol w:w="1105"/>
        <w:gridCol w:w="704"/>
        <w:gridCol w:w="1171"/>
        <w:gridCol w:w="914"/>
        <w:gridCol w:w="9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tblHeader/>
          <w:jc w:val="center"/>
        </w:trPr>
        <w:tc>
          <w:tcPr>
            <w:tcW w:w="547" w:type="dxa"/>
            <w:tcBorders>
              <w:tl2br w:val="nil"/>
              <w:tr2bl w:val="nil"/>
            </w:tcBorders>
            <w:vAlign w:val="center"/>
          </w:tcPr>
          <w:p>
            <w:pPr>
              <w:pStyle w:val="23"/>
              <w:autoSpaceDE/>
              <w:autoSpaceDN/>
              <w:rPr>
                <w:rFonts w:eastAsiaTheme="minorEastAsia"/>
                <w:bCs/>
                <w:lang w:val="en-US"/>
              </w:rPr>
            </w:pPr>
            <w:r>
              <w:rPr>
                <w:rFonts w:eastAsiaTheme="minorEastAsia"/>
                <w:bCs/>
                <w:lang w:val="en-US"/>
              </w:rPr>
              <w:t>序号</w:t>
            </w:r>
          </w:p>
        </w:tc>
        <w:tc>
          <w:tcPr>
            <w:tcW w:w="1001" w:type="dxa"/>
            <w:tcBorders>
              <w:tl2br w:val="nil"/>
              <w:tr2bl w:val="nil"/>
            </w:tcBorders>
            <w:vAlign w:val="center"/>
          </w:tcPr>
          <w:p>
            <w:pPr>
              <w:pStyle w:val="23"/>
              <w:autoSpaceDE/>
              <w:autoSpaceDN/>
              <w:rPr>
                <w:rFonts w:eastAsiaTheme="minorEastAsia"/>
                <w:bCs/>
                <w:lang w:val="en-US"/>
              </w:rPr>
            </w:pPr>
            <w:r>
              <w:rPr>
                <w:rFonts w:eastAsiaTheme="minorEastAsia"/>
                <w:bCs/>
                <w:lang w:val="en-US"/>
              </w:rPr>
              <w:t>乡镇</w:t>
            </w:r>
          </w:p>
          <w:p>
            <w:pPr>
              <w:pStyle w:val="23"/>
              <w:autoSpaceDE/>
              <w:autoSpaceDN/>
              <w:rPr>
                <w:rFonts w:eastAsiaTheme="minorEastAsia"/>
                <w:bCs/>
                <w:lang w:val="en-US"/>
              </w:rPr>
            </w:pPr>
            <w:r>
              <w:rPr>
                <w:rFonts w:eastAsiaTheme="minorEastAsia"/>
                <w:bCs/>
                <w:lang w:val="en-US"/>
              </w:rPr>
              <w:t>名称</w:t>
            </w:r>
          </w:p>
        </w:tc>
        <w:tc>
          <w:tcPr>
            <w:tcW w:w="1084" w:type="dxa"/>
            <w:tcBorders>
              <w:tl2br w:val="nil"/>
              <w:tr2bl w:val="nil"/>
            </w:tcBorders>
            <w:vAlign w:val="center"/>
          </w:tcPr>
          <w:p>
            <w:pPr>
              <w:pStyle w:val="23"/>
              <w:autoSpaceDE/>
              <w:autoSpaceDN/>
              <w:rPr>
                <w:rFonts w:eastAsiaTheme="minorEastAsia"/>
                <w:bCs/>
                <w:lang w:val="en-US"/>
              </w:rPr>
            </w:pPr>
            <w:r>
              <w:rPr>
                <w:rFonts w:eastAsiaTheme="minorEastAsia"/>
                <w:bCs/>
                <w:lang w:val="en-US"/>
              </w:rPr>
              <w:t>水源地</w:t>
            </w:r>
          </w:p>
          <w:p>
            <w:pPr>
              <w:pStyle w:val="23"/>
              <w:autoSpaceDE/>
              <w:autoSpaceDN/>
              <w:rPr>
                <w:rFonts w:eastAsiaTheme="minorEastAsia"/>
                <w:bCs/>
                <w:lang w:val="en-US"/>
              </w:rPr>
            </w:pPr>
            <w:r>
              <w:rPr>
                <w:rFonts w:eastAsiaTheme="minorEastAsia"/>
                <w:bCs/>
                <w:lang w:val="en-US"/>
              </w:rPr>
              <w:t>名称</w:t>
            </w:r>
          </w:p>
        </w:tc>
        <w:tc>
          <w:tcPr>
            <w:tcW w:w="1076" w:type="dxa"/>
            <w:tcBorders>
              <w:tl2br w:val="nil"/>
              <w:tr2bl w:val="nil"/>
            </w:tcBorders>
            <w:vAlign w:val="center"/>
          </w:tcPr>
          <w:p>
            <w:pPr>
              <w:pStyle w:val="23"/>
              <w:autoSpaceDE/>
              <w:autoSpaceDN/>
              <w:rPr>
                <w:rFonts w:eastAsiaTheme="minorEastAsia"/>
                <w:bCs/>
                <w:lang w:val="en-US"/>
              </w:rPr>
            </w:pPr>
            <w:r>
              <w:rPr>
                <w:rFonts w:eastAsiaTheme="minorEastAsia"/>
                <w:bCs/>
                <w:lang w:val="en-US"/>
              </w:rPr>
              <w:t>水厂名称</w:t>
            </w:r>
          </w:p>
        </w:tc>
        <w:tc>
          <w:tcPr>
            <w:tcW w:w="1105" w:type="dxa"/>
            <w:tcBorders>
              <w:tl2br w:val="nil"/>
              <w:tr2bl w:val="nil"/>
            </w:tcBorders>
            <w:vAlign w:val="center"/>
          </w:tcPr>
          <w:p>
            <w:pPr>
              <w:pStyle w:val="23"/>
              <w:autoSpaceDE/>
              <w:autoSpaceDN/>
              <w:rPr>
                <w:rFonts w:eastAsiaTheme="minorEastAsia"/>
                <w:bCs/>
                <w:lang w:val="en-US"/>
              </w:rPr>
            </w:pPr>
            <w:r>
              <w:rPr>
                <w:rFonts w:eastAsiaTheme="minorEastAsia"/>
                <w:bCs/>
                <w:lang w:val="en-US"/>
              </w:rPr>
              <w:t>水源地所在河流</w:t>
            </w:r>
          </w:p>
        </w:tc>
        <w:tc>
          <w:tcPr>
            <w:tcW w:w="704" w:type="dxa"/>
            <w:tcBorders>
              <w:tl2br w:val="nil"/>
              <w:tr2bl w:val="nil"/>
            </w:tcBorders>
            <w:vAlign w:val="center"/>
          </w:tcPr>
          <w:p>
            <w:pPr>
              <w:pStyle w:val="23"/>
              <w:autoSpaceDE/>
              <w:autoSpaceDN/>
              <w:rPr>
                <w:rFonts w:eastAsiaTheme="minorEastAsia"/>
                <w:bCs/>
                <w:lang w:val="en-US"/>
              </w:rPr>
            </w:pPr>
            <w:r>
              <w:rPr>
                <w:rFonts w:eastAsiaTheme="minorEastAsia"/>
                <w:bCs/>
                <w:lang w:val="en-US"/>
              </w:rPr>
              <w:t>水源地类型</w:t>
            </w:r>
          </w:p>
        </w:tc>
        <w:tc>
          <w:tcPr>
            <w:tcW w:w="1171" w:type="dxa"/>
            <w:tcBorders>
              <w:tl2br w:val="nil"/>
              <w:tr2bl w:val="nil"/>
            </w:tcBorders>
            <w:vAlign w:val="center"/>
          </w:tcPr>
          <w:p>
            <w:pPr>
              <w:pStyle w:val="23"/>
              <w:autoSpaceDE/>
              <w:autoSpaceDN/>
              <w:rPr>
                <w:rFonts w:eastAsiaTheme="minorEastAsia"/>
                <w:bCs/>
                <w:lang w:val="en-US"/>
              </w:rPr>
            </w:pPr>
            <w:r>
              <w:rPr>
                <w:rFonts w:eastAsiaTheme="minorEastAsia"/>
                <w:bCs/>
                <w:lang w:val="en-US"/>
              </w:rPr>
              <w:t>供水服务区域</w:t>
            </w:r>
          </w:p>
        </w:tc>
        <w:tc>
          <w:tcPr>
            <w:tcW w:w="914" w:type="dxa"/>
            <w:tcBorders>
              <w:tl2br w:val="nil"/>
              <w:tr2bl w:val="nil"/>
            </w:tcBorders>
            <w:vAlign w:val="center"/>
          </w:tcPr>
          <w:p>
            <w:pPr>
              <w:pStyle w:val="23"/>
              <w:autoSpaceDE/>
              <w:autoSpaceDN/>
              <w:rPr>
                <w:rFonts w:eastAsiaTheme="minorEastAsia"/>
                <w:bCs/>
                <w:lang w:val="en-US"/>
              </w:rPr>
            </w:pPr>
            <w:r>
              <w:rPr>
                <w:rFonts w:eastAsiaTheme="minorEastAsia"/>
                <w:bCs/>
                <w:lang w:val="en-US"/>
              </w:rPr>
              <w:t>实际服务人口</w:t>
            </w:r>
            <w:r>
              <w:rPr>
                <w:rFonts w:hint="eastAsia" w:eastAsiaTheme="minorEastAsia"/>
                <w:bCs/>
                <w:lang w:val="en-US"/>
              </w:rPr>
              <w:t>（</w:t>
            </w:r>
            <w:r>
              <w:rPr>
                <w:rFonts w:eastAsiaTheme="minorEastAsia"/>
                <w:bCs/>
                <w:lang w:val="en-US"/>
              </w:rPr>
              <w:t>人</w:t>
            </w:r>
            <w:r>
              <w:rPr>
                <w:rFonts w:hint="eastAsia" w:eastAsiaTheme="minorEastAsia"/>
                <w:bCs/>
                <w:lang w:val="en-US"/>
              </w:rPr>
              <w:t>）</w:t>
            </w:r>
          </w:p>
        </w:tc>
        <w:tc>
          <w:tcPr>
            <w:tcW w:w="915" w:type="dxa"/>
            <w:tcBorders>
              <w:tl2br w:val="nil"/>
              <w:tr2bl w:val="nil"/>
            </w:tcBorders>
            <w:vAlign w:val="center"/>
          </w:tcPr>
          <w:p>
            <w:pPr>
              <w:pStyle w:val="23"/>
              <w:autoSpaceDE/>
              <w:autoSpaceDN/>
              <w:rPr>
                <w:rFonts w:eastAsiaTheme="minorEastAsia"/>
                <w:bCs/>
                <w:lang w:val="en-US"/>
              </w:rPr>
            </w:pPr>
            <w:r>
              <w:rPr>
                <w:rFonts w:eastAsiaTheme="minorEastAsia"/>
                <w:bCs/>
                <w:lang w:val="en-US"/>
              </w:rPr>
              <w:t>日供水能力</w:t>
            </w:r>
            <w:r>
              <w:rPr>
                <w:rFonts w:hint="eastAsia" w:eastAsiaTheme="minorEastAsia"/>
                <w:bCs/>
                <w:lang w:val="en-US"/>
              </w:rPr>
              <w:t>（</w:t>
            </w:r>
            <w:r>
              <w:rPr>
                <w:rFonts w:eastAsiaTheme="minorEastAsia"/>
                <w:bCs/>
                <w:lang w:val="en-US"/>
              </w:rPr>
              <w:t>吨/天</w:t>
            </w:r>
            <w:r>
              <w:rPr>
                <w:rFonts w:hint="eastAsia" w:eastAsiaTheme="minorEastAsia"/>
                <w:bCs/>
                <w:lang w:val="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1" w:hRule="atLeast"/>
          <w:jc w:val="center"/>
        </w:trPr>
        <w:tc>
          <w:tcPr>
            <w:tcW w:w="547" w:type="dxa"/>
            <w:tcBorders>
              <w:tl2br w:val="nil"/>
              <w:tr2bl w:val="nil"/>
            </w:tcBorders>
            <w:vAlign w:val="center"/>
          </w:tcPr>
          <w:p>
            <w:pPr>
              <w:pStyle w:val="23"/>
              <w:autoSpaceDE/>
              <w:autoSpaceDN/>
              <w:rPr>
                <w:rFonts w:eastAsiaTheme="minorEastAsia"/>
                <w:bCs/>
                <w:lang w:val="en-US"/>
              </w:rPr>
            </w:pPr>
            <w:r>
              <w:rPr>
                <w:rFonts w:eastAsiaTheme="minorEastAsia"/>
                <w:bCs/>
                <w:lang w:val="en-US"/>
              </w:rPr>
              <w:t>1</w:t>
            </w:r>
          </w:p>
        </w:tc>
        <w:tc>
          <w:tcPr>
            <w:tcW w:w="1001" w:type="dxa"/>
            <w:tcBorders>
              <w:tl2br w:val="nil"/>
              <w:tr2bl w:val="nil"/>
            </w:tcBorders>
            <w:vAlign w:val="center"/>
          </w:tcPr>
          <w:p>
            <w:pPr>
              <w:pStyle w:val="23"/>
              <w:autoSpaceDE/>
              <w:autoSpaceDN/>
              <w:rPr>
                <w:rFonts w:eastAsiaTheme="minorEastAsia"/>
                <w:bCs/>
                <w:lang w:val="en-US"/>
              </w:rPr>
            </w:pPr>
            <w:r>
              <w:rPr>
                <w:rFonts w:eastAsiaTheme="minorEastAsia"/>
                <w:bCs/>
                <w:lang w:val="en-US"/>
              </w:rPr>
              <w:t>赵李桥镇</w:t>
            </w:r>
          </w:p>
        </w:tc>
        <w:tc>
          <w:tcPr>
            <w:tcW w:w="1084" w:type="dxa"/>
            <w:tcBorders>
              <w:tl2br w:val="nil"/>
              <w:tr2bl w:val="nil"/>
            </w:tcBorders>
            <w:vAlign w:val="center"/>
          </w:tcPr>
          <w:p>
            <w:pPr>
              <w:pStyle w:val="23"/>
              <w:autoSpaceDE/>
              <w:autoSpaceDN/>
              <w:rPr>
                <w:rFonts w:eastAsiaTheme="minorEastAsia"/>
                <w:bCs/>
                <w:lang w:val="en-US"/>
              </w:rPr>
            </w:pPr>
            <w:r>
              <w:rPr>
                <w:rFonts w:eastAsiaTheme="minorEastAsia"/>
                <w:bCs/>
                <w:lang w:val="en-US"/>
              </w:rPr>
              <w:t>石人泉水库</w:t>
            </w:r>
          </w:p>
        </w:tc>
        <w:tc>
          <w:tcPr>
            <w:tcW w:w="1076" w:type="dxa"/>
            <w:tcBorders>
              <w:tl2br w:val="nil"/>
              <w:tr2bl w:val="nil"/>
            </w:tcBorders>
            <w:vAlign w:val="center"/>
          </w:tcPr>
          <w:p>
            <w:pPr>
              <w:pStyle w:val="23"/>
              <w:autoSpaceDE/>
              <w:autoSpaceDN/>
              <w:rPr>
                <w:rFonts w:eastAsiaTheme="minorEastAsia"/>
                <w:bCs/>
                <w:lang w:val="en-US"/>
              </w:rPr>
            </w:pPr>
            <w:r>
              <w:rPr>
                <w:rFonts w:eastAsiaTheme="minorEastAsia"/>
                <w:bCs/>
                <w:lang w:val="en-US"/>
              </w:rPr>
              <w:t>赵李桥镇水厂</w:t>
            </w:r>
          </w:p>
        </w:tc>
        <w:tc>
          <w:tcPr>
            <w:tcW w:w="1105" w:type="dxa"/>
            <w:tcBorders>
              <w:tl2br w:val="nil"/>
              <w:tr2bl w:val="nil"/>
            </w:tcBorders>
            <w:vAlign w:val="center"/>
          </w:tcPr>
          <w:p>
            <w:pPr>
              <w:pStyle w:val="23"/>
              <w:autoSpaceDE/>
              <w:autoSpaceDN/>
              <w:rPr>
                <w:rFonts w:eastAsiaTheme="minorEastAsia"/>
                <w:bCs/>
                <w:lang w:val="en-US"/>
              </w:rPr>
            </w:pPr>
            <w:r>
              <w:rPr>
                <w:rFonts w:eastAsiaTheme="minorEastAsia"/>
                <w:bCs/>
                <w:lang w:val="en-US"/>
              </w:rPr>
              <w:t>陆水</w:t>
            </w:r>
          </w:p>
        </w:tc>
        <w:tc>
          <w:tcPr>
            <w:tcW w:w="704" w:type="dxa"/>
            <w:tcBorders>
              <w:tl2br w:val="nil"/>
              <w:tr2bl w:val="nil"/>
            </w:tcBorders>
            <w:vAlign w:val="center"/>
          </w:tcPr>
          <w:p>
            <w:pPr>
              <w:pStyle w:val="23"/>
              <w:autoSpaceDE/>
              <w:autoSpaceDN/>
              <w:rPr>
                <w:rFonts w:eastAsiaTheme="minorEastAsia"/>
                <w:bCs/>
                <w:lang w:val="en-US"/>
              </w:rPr>
            </w:pPr>
            <w:r>
              <w:rPr>
                <w:rFonts w:eastAsiaTheme="minorEastAsia"/>
                <w:bCs/>
                <w:lang w:val="en-US"/>
              </w:rPr>
              <w:t>水库</w:t>
            </w:r>
          </w:p>
        </w:tc>
        <w:tc>
          <w:tcPr>
            <w:tcW w:w="1171" w:type="dxa"/>
            <w:tcBorders>
              <w:tl2br w:val="nil"/>
              <w:tr2bl w:val="nil"/>
            </w:tcBorders>
            <w:vAlign w:val="center"/>
          </w:tcPr>
          <w:p>
            <w:pPr>
              <w:pStyle w:val="23"/>
              <w:autoSpaceDE/>
              <w:autoSpaceDN/>
              <w:rPr>
                <w:rFonts w:eastAsiaTheme="minorEastAsia"/>
                <w:bCs/>
                <w:lang w:val="en-US"/>
              </w:rPr>
            </w:pPr>
            <w:r>
              <w:rPr>
                <w:rFonts w:eastAsiaTheme="minorEastAsia"/>
                <w:bCs/>
                <w:lang w:val="en-US"/>
              </w:rPr>
              <w:t>赵李桥镇、羊楼洞茶场</w:t>
            </w:r>
          </w:p>
        </w:tc>
        <w:tc>
          <w:tcPr>
            <w:tcW w:w="914" w:type="dxa"/>
            <w:tcBorders>
              <w:tl2br w:val="nil"/>
              <w:tr2bl w:val="nil"/>
            </w:tcBorders>
            <w:vAlign w:val="center"/>
          </w:tcPr>
          <w:p>
            <w:pPr>
              <w:pStyle w:val="23"/>
              <w:autoSpaceDE/>
              <w:autoSpaceDN/>
              <w:rPr>
                <w:rFonts w:eastAsiaTheme="minorEastAsia"/>
                <w:bCs/>
                <w:lang w:val="en-US"/>
              </w:rPr>
            </w:pPr>
            <w:r>
              <w:rPr>
                <w:rFonts w:eastAsiaTheme="minorEastAsia"/>
                <w:bCs/>
                <w:lang w:val="en-US"/>
              </w:rPr>
              <w:t>2.8万</w:t>
            </w:r>
          </w:p>
        </w:tc>
        <w:tc>
          <w:tcPr>
            <w:tcW w:w="915" w:type="dxa"/>
            <w:tcBorders>
              <w:tl2br w:val="nil"/>
              <w:tr2bl w:val="nil"/>
            </w:tcBorders>
            <w:vAlign w:val="center"/>
          </w:tcPr>
          <w:p>
            <w:pPr>
              <w:pStyle w:val="23"/>
              <w:autoSpaceDE/>
              <w:autoSpaceDN/>
              <w:rPr>
                <w:rFonts w:eastAsiaTheme="minorEastAsia"/>
                <w:bCs/>
                <w:lang w:val="en-US"/>
              </w:rPr>
            </w:pPr>
            <w:r>
              <w:rPr>
                <w:rFonts w:eastAsiaTheme="minorEastAsia"/>
                <w:bCs/>
                <w:lang w:val="en-US"/>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jc w:val="center"/>
        </w:trPr>
        <w:tc>
          <w:tcPr>
            <w:tcW w:w="547" w:type="dxa"/>
            <w:tcBorders>
              <w:tl2br w:val="nil"/>
              <w:tr2bl w:val="nil"/>
            </w:tcBorders>
            <w:vAlign w:val="center"/>
          </w:tcPr>
          <w:p>
            <w:pPr>
              <w:pStyle w:val="23"/>
              <w:autoSpaceDE/>
              <w:autoSpaceDN/>
              <w:rPr>
                <w:rFonts w:eastAsiaTheme="minorEastAsia"/>
                <w:bCs/>
                <w:lang w:val="en-US"/>
              </w:rPr>
            </w:pPr>
            <w:r>
              <w:rPr>
                <w:rFonts w:eastAsiaTheme="minorEastAsia"/>
                <w:bCs/>
                <w:lang w:val="en-US"/>
              </w:rPr>
              <w:t>2</w:t>
            </w:r>
          </w:p>
        </w:tc>
        <w:tc>
          <w:tcPr>
            <w:tcW w:w="1001" w:type="dxa"/>
            <w:tcBorders>
              <w:tl2br w:val="nil"/>
              <w:tr2bl w:val="nil"/>
            </w:tcBorders>
            <w:vAlign w:val="center"/>
          </w:tcPr>
          <w:p>
            <w:pPr>
              <w:pStyle w:val="23"/>
              <w:autoSpaceDE/>
              <w:autoSpaceDN/>
              <w:rPr>
                <w:rFonts w:eastAsiaTheme="minorEastAsia"/>
                <w:bCs/>
                <w:lang w:val="en-US"/>
              </w:rPr>
            </w:pPr>
            <w:r>
              <w:rPr>
                <w:rFonts w:eastAsiaTheme="minorEastAsia"/>
                <w:bCs/>
                <w:lang w:val="en-US"/>
              </w:rPr>
              <w:t>茶庵岭镇</w:t>
            </w:r>
          </w:p>
        </w:tc>
        <w:tc>
          <w:tcPr>
            <w:tcW w:w="1084" w:type="dxa"/>
            <w:tcBorders>
              <w:tl2br w:val="nil"/>
              <w:tr2bl w:val="nil"/>
            </w:tcBorders>
            <w:vAlign w:val="center"/>
          </w:tcPr>
          <w:p>
            <w:pPr>
              <w:pStyle w:val="23"/>
              <w:autoSpaceDE/>
              <w:autoSpaceDN/>
              <w:rPr>
                <w:rFonts w:eastAsiaTheme="minorEastAsia"/>
                <w:bCs/>
                <w:lang w:val="en-US"/>
              </w:rPr>
            </w:pPr>
            <w:r>
              <w:rPr>
                <w:rFonts w:eastAsiaTheme="minorEastAsia"/>
                <w:bCs/>
                <w:lang w:val="en-US"/>
              </w:rPr>
              <w:t>白石水库</w:t>
            </w:r>
          </w:p>
        </w:tc>
        <w:tc>
          <w:tcPr>
            <w:tcW w:w="1076" w:type="dxa"/>
            <w:tcBorders>
              <w:tl2br w:val="nil"/>
              <w:tr2bl w:val="nil"/>
            </w:tcBorders>
            <w:vAlign w:val="center"/>
          </w:tcPr>
          <w:p>
            <w:pPr>
              <w:pStyle w:val="23"/>
              <w:autoSpaceDE/>
              <w:autoSpaceDN/>
              <w:rPr>
                <w:rFonts w:eastAsiaTheme="minorEastAsia"/>
                <w:bCs/>
                <w:lang w:val="en-US"/>
              </w:rPr>
            </w:pPr>
            <w:r>
              <w:rPr>
                <w:rFonts w:eastAsiaTheme="minorEastAsia"/>
                <w:bCs/>
                <w:lang w:val="en-US"/>
              </w:rPr>
              <w:t>茶庵岭镇水厂</w:t>
            </w:r>
          </w:p>
        </w:tc>
        <w:tc>
          <w:tcPr>
            <w:tcW w:w="1105" w:type="dxa"/>
            <w:tcBorders>
              <w:tl2br w:val="nil"/>
              <w:tr2bl w:val="nil"/>
            </w:tcBorders>
            <w:vAlign w:val="center"/>
          </w:tcPr>
          <w:p>
            <w:pPr>
              <w:pStyle w:val="23"/>
              <w:autoSpaceDE/>
              <w:autoSpaceDN/>
              <w:rPr>
                <w:rFonts w:eastAsiaTheme="minorEastAsia"/>
                <w:bCs/>
                <w:lang w:val="en-US"/>
              </w:rPr>
            </w:pPr>
            <w:r>
              <w:rPr>
                <w:rFonts w:eastAsiaTheme="minorEastAsia"/>
                <w:bCs/>
                <w:lang w:val="en-US"/>
              </w:rPr>
              <w:t>陆水</w:t>
            </w:r>
          </w:p>
        </w:tc>
        <w:tc>
          <w:tcPr>
            <w:tcW w:w="704" w:type="dxa"/>
            <w:tcBorders>
              <w:tl2br w:val="nil"/>
              <w:tr2bl w:val="nil"/>
            </w:tcBorders>
            <w:vAlign w:val="center"/>
          </w:tcPr>
          <w:p>
            <w:pPr>
              <w:pStyle w:val="23"/>
              <w:autoSpaceDE/>
              <w:autoSpaceDN/>
              <w:rPr>
                <w:rFonts w:eastAsiaTheme="minorEastAsia"/>
                <w:bCs/>
                <w:lang w:val="en-US"/>
              </w:rPr>
            </w:pPr>
            <w:r>
              <w:rPr>
                <w:rFonts w:eastAsiaTheme="minorEastAsia"/>
                <w:bCs/>
                <w:lang w:val="en-US"/>
              </w:rPr>
              <w:t>水库</w:t>
            </w:r>
          </w:p>
        </w:tc>
        <w:tc>
          <w:tcPr>
            <w:tcW w:w="1171" w:type="dxa"/>
            <w:tcBorders>
              <w:tl2br w:val="nil"/>
              <w:tr2bl w:val="nil"/>
            </w:tcBorders>
            <w:vAlign w:val="center"/>
          </w:tcPr>
          <w:p>
            <w:pPr>
              <w:pStyle w:val="23"/>
              <w:autoSpaceDE/>
              <w:autoSpaceDN/>
              <w:rPr>
                <w:rFonts w:eastAsiaTheme="minorEastAsia"/>
                <w:bCs/>
                <w:lang w:val="en-US"/>
              </w:rPr>
            </w:pPr>
            <w:r>
              <w:rPr>
                <w:rFonts w:eastAsiaTheme="minorEastAsia"/>
                <w:bCs/>
                <w:lang w:val="en-US"/>
              </w:rPr>
              <w:t>茶庵岭镇</w:t>
            </w:r>
          </w:p>
        </w:tc>
        <w:tc>
          <w:tcPr>
            <w:tcW w:w="914" w:type="dxa"/>
            <w:tcBorders>
              <w:tl2br w:val="nil"/>
              <w:tr2bl w:val="nil"/>
            </w:tcBorders>
            <w:vAlign w:val="center"/>
          </w:tcPr>
          <w:p>
            <w:pPr>
              <w:pStyle w:val="23"/>
              <w:autoSpaceDE/>
              <w:autoSpaceDN/>
              <w:rPr>
                <w:rFonts w:eastAsiaTheme="minorEastAsia"/>
                <w:bCs/>
                <w:lang w:val="en-US"/>
              </w:rPr>
            </w:pPr>
            <w:r>
              <w:rPr>
                <w:rFonts w:eastAsiaTheme="minorEastAsia"/>
                <w:bCs/>
                <w:lang w:val="en-US"/>
              </w:rPr>
              <w:t>1.0万</w:t>
            </w:r>
          </w:p>
        </w:tc>
        <w:tc>
          <w:tcPr>
            <w:tcW w:w="915" w:type="dxa"/>
            <w:tcBorders>
              <w:tl2br w:val="nil"/>
              <w:tr2bl w:val="nil"/>
            </w:tcBorders>
            <w:vAlign w:val="center"/>
          </w:tcPr>
          <w:p>
            <w:pPr>
              <w:pStyle w:val="23"/>
              <w:autoSpaceDE/>
              <w:autoSpaceDN/>
              <w:rPr>
                <w:rFonts w:eastAsiaTheme="minorEastAsia"/>
                <w:bCs/>
                <w:lang w:val="en-US"/>
              </w:rPr>
            </w:pPr>
            <w:r>
              <w:rPr>
                <w:rFonts w:eastAsiaTheme="minorEastAsia"/>
                <w:bCs/>
                <w:lang w:val="en-US"/>
              </w:rPr>
              <w:t>410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jc w:val="center"/>
        </w:trPr>
        <w:tc>
          <w:tcPr>
            <w:tcW w:w="547" w:type="dxa"/>
            <w:tcBorders>
              <w:tl2br w:val="nil"/>
              <w:tr2bl w:val="nil"/>
            </w:tcBorders>
            <w:vAlign w:val="center"/>
          </w:tcPr>
          <w:p>
            <w:pPr>
              <w:pStyle w:val="23"/>
              <w:autoSpaceDE/>
              <w:autoSpaceDN/>
              <w:rPr>
                <w:rFonts w:eastAsiaTheme="minorEastAsia"/>
                <w:bCs/>
                <w:lang w:val="en-US"/>
              </w:rPr>
            </w:pPr>
            <w:r>
              <w:rPr>
                <w:rFonts w:eastAsiaTheme="minorEastAsia"/>
                <w:bCs/>
                <w:lang w:val="en-US"/>
              </w:rPr>
              <w:t>3</w:t>
            </w:r>
          </w:p>
        </w:tc>
        <w:tc>
          <w:tcPr>
            <w:tcW w:w="1001" w:type="dxa"/>
            <w:tcBorders>
              <w:tl2br w:val="nil"/>
              <w:tr2bl w:val="nil"/>
            </w:tcBorders>
            <w:vAlign w:val="center"/>
          </w:tcPr>
          <w:p>
            <w:pPr>
              <w:pStyle w:val="23"/>
              <w:autoSpaceDE/>
              <w:autoSpaceDN/>
              <w:rPr>
                <w:rFonts w:eastAsiaTheme="minorEastAsia"/>
                <w:bCs/>
                <w:lang w:val="en-US"/>
              </w:rPr>
            </w:pPr>
            <w:r>
              <w:rPr>
                <w:rFonts w:eastAsiaTheme="minorEastAsia"/>
                <w:bCs/>
                <w:lang w:val="en-US"/>
              </w:rPr>
              <w:t>车埠镇</w:t>
            </w:r>
          </w:p>
        </w:tc>
        <w:tc>
          <w:tcPr>
            <w:tcW w:w="1084" w:type="dxa"/>
            <w:tcBorders>
              <w:tl2br w:val="nil"/>
              <w:tr2bl w:val="nil"/>
            </w:tcBorders>
            <w:vAlign w:val="center"/>
          </w:tcPr>
          <w:p>
            <w:pPr>
              <w:pStyle w:val="23"/>
              <w:autoSpaceDE/>
              <w:autoSpaceDN/>
              <w:rPr>
                <w:rFonts w:eastAsiaTheme="minorEastAsia"/>
                <w:bCs/>
                <w:lang w:val="en-US"/>
              </w:rPr>
            </w:pPr>
            <w:r>
              <w:rPr>
                <w:rFonts w:eastAsiaTheme="minorEastAsia"/>
                <w:bCs/>
                <w:lang w:val="en-US"/>
              </w:rPr>
              <w:t>燎燃水库</w:t>
            </w:r>
          </w:p>
        </w:tc>
        <w:tc>
          <w:tcPr>
            <w:tcW w:w="1076" w:type="dxa"/>
            <w:tcBorders>
              <w:tl2br w:val="nil"/>
              <w:tr2bl w:val="nil"/>
            </w:tcBorders>
            <w:vAlign w:val="center"/>
          </w:tcPr>
          <w:p>
            <w:pPr>
              <w:pStyle w:val="23"/>
              <w:autoSpaceDE/>
              <w:autoSpaceDN/>
              <w:rPr>
                <w:rFonts w:eastAsiaTheme="minorEastAsia"/>
                <w:bCs/>
                <w:lang w:val="en-US"/>
              </w:rPr>
            </w:pPr>
            <w:r>
              <w:rPr>
                <w:rFonts w:eastAsiaTheme="minorEastAsia"/>
                <w:bCs/>
                <w:lang w:val="en-US"/>
              </w:rPr>
              <w:t>燎原水厂</w:t>
            </w:r>
          </w:p>
        </w:tc>
        <w:tc>
          <w:tcPr>
            <w:tcW w:w="1105" w:type="dxa"/>
            <w:tcBorders>
              <w:tl2br w:val="nil"/>
              <w:tr2bl w:val="nil"/>
            </w:tcBorders>
            <w:vAlign w:val="center"/>
          </w:tcPr>
          <w:p>
            <w:pPr>
              <w:pStyle w:val="23"/>
              <w:autoSpaceDE/>
              <w:autoSpaceDN/>
              <w:rPr>
                <w:rFonts w:eastAsiaTheme="minorEastAsia"/>
                <w:bCs/>
                <w:lang w:val="en-US"/>
              </w:rPr>
            </w:pPr>
            <w:r>
              <w:rPr>
                <w:rFonts w:eastAsiaTheme="minorEastAsia"/>
                <w:bCs/>
                <w:lang w:val="en-US"/>
              </w:rPr>
              <w:t>陆水</w:t>
            </w:r>
          </w:p>
        </w:tc>
        <w:tc>
          <w:tcPr>
            <w:tcW w:w="704" w:type="dxa"/>
            <w:tcBorders>
              <w:tl2br w:val="nil"/>
              <w:tr2bl w:val="nil"/>
            </w:tcBorders>
            <w:vAlign w:val="center"/>
          </w:tcPr>
          <w:p>
            <w:pPr>
              <w:pStyle w:val="23"/>
              <w:autoSpaceDE/>
              <w:autoSpaceDN/>
              <w:rPr>
                <w:rFonts w:eastAsiaTheme="minorEastAsia"/>
                <w:bCs/>
                <w:lang w:val="en-US"/>
              </w:rPr>
            </w:pPr>
            <w:r>
              <w:rPr>
                <w:rFonts w:eastAsiaTheme="minorEastAsia"/>
                <w:bCs/>
                <w:lang w:val="en-US"/>
              </w:rPr>
              <w:t>水库</w:t>
            </w:r>
          </w:p>
        </w:tc>
        <w:tc>
          <w:tcPr>
            <w:tcW w:w="1171" w:type="dxa"/>
            <w:tcBorders>
              <w:tl2br w:val="nil"/>
              <w:tr2bl w:val="nil"/>
            </w:tcBorders>
            <w:vAlign w:val="center"/>
          </w:tcPr>
          <w:p>
            <w:pPr>
              <w:pStyle w:val="23"/>
              <w:autoSpaceDE/>
              <w:autoSpaceDN/>
              <w:rPr>
                <w:rFonts w:eastAsiaTheme="minorEastAsia"/>
                <w:bCs/>
                <w:lang w:val="en-US"/>
              </w:rPr>
            </w:pPr>
            <w:r>
              <w:rPr>
                <w:rFonts w:eastAsiaTheme="minorEastAsia"/>
                <w:bCs/>
                <w:lang w:val="en-US"/>
              </w:rPr>
              <w:t>车埠镇、余家桥乡、新店镇</w:t>
            </w:r>
          </w:p>
        </w:tc>
        <w:tc>
          <w:tcPr>
            <w:tcW w:w="914" w:type="dxa"/>
            <w:tcBorders>
              <w:tl2br w:val="nil"/>
              <w:tr2bl w:val="nil"/>
            </w:tcBorders>
            <w:vAlign w:val="center"/>
          </w:tcPr>
          <w:p>
            <w:pPr>
              <w:pStyle w:val="23"/>
              <w:autoSpaceDE/>
              <w:autoSpaceDN/>
              <w:rPr>
                <w:rFonts w:eastAsiaTheme="minorEastAsia"/>
                <w:bCs/>
                <w:lang w:val="en-US"/>
              </w:rPr>
            </w:pPr>
            <w:r>
              <w:rPr>
                <w:rFonts w:eastAsiaTheme="minorEastAsia"/>
                <w:bCs/>
                <w:lang w:val="en-US"/>
              </w:rPr>
              <w:t>5.2万</w:t>
            </w:r>
          </w:p>
        </w:tc>
        <w:tc>
          <w:tcPr>
            <w:tcW w:w="915" w:type="dxa"/>
            <w:tcBorders>
              <w:tl2br w:val="nil"/>
              <w:tr2bl w:val="nil"/>
            </w:tcBorders>
            <w:vAlign w:val="center"/>
          </w:tcPr>
          <w:p>
            <w:pPr>
              <w:pStyle w:val="23"/>
              <w:autoSpaceDE/>
              <w:autoSpaceDN/>
              <w:rPr>
                <w:rFonts w:eastAsiaTheme="minorEastAsia"/>
                <w:bCs/>
                <w:lang w:val="en-US"/>
              </w:rPr>
            </w:pPr>
            <w:r>
              <w:rPr>
                <w:rFonts w:eastAsiaTheme="minorEastAsia"/>
                <w:bCs/>
                <w:lang w:val="en-US"/>
              </w:rPr>
              <w: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jc w:val="center"/>
        </w:trPr>
        <w:tc>
          <w:tcPr>
            <w:tcW w:w="547" w:type="dxa"/>
            <w:tcBorders>
              <w:tl2br w:val="nil"/>
              <w:tr2bl w:val="nil"/>
            </w:tcBorders>
            <w:vAlign w:val="center"/>
          </w:tcPr>
          <w:p>
            <w:pPr>
              <w:pStyle w:val="23"/>
              <w:autoSpaceDE/>
              <w:autoSpaceDN/>
              <w:rPr>
                <w:rFonts w:eastAsiaTheme="minorEastAsia"/>
                <w:bCs/>
                <w:lang w:val="en-US"/>
              </w:rPr>
            </w:pPr>
            <w:r>
              <w:rPr>
                <w:rFonts w:eastAsiaTheme="minorEastAsia"/>
                <w:bCs/>
                <w:lang w:val="en-US"/>
              </w:rPr>
              <w:t>4</w:t>
            </w:r>
          </w:p>
        </w:tc>
        <w:tc>
          <w:tcPr>
            <w:tcW w:w="1001" w:type="dxa"/>
            <w:tcBorders>
              <w:tl2br w:val="nil"/>
              <w:tr2bl w:val="nil"/>
            </w:tcBorders>
            <w:vAlign w:val="center"/>
          </w:tcPr>
          <w:p>
            <w:pPr>
              <w:pStyle w:val="23"/>
              <w:autoSpaceDE/>
              <w:autoSpaceDN/>
              <w:rPr>
                <w:rFonts w:eastAsiaTheme="minorEastAsia"/>
                <w:bCs/>
                <w:lang w:val="en-US"/>
              </w:rPr>
            </w:pPr>
            <w:r>
              <w:rPr>
                <w:rFonts w:eastAsiaTheme="minorEastAsia"/>
                <w:bCs/>
                <w:lang w:val="en-US"/>
              </w:rPr>
              <w:t>柳山湖镇</w:t>
            </w:r>
          </w:p>
        </w:tc>
        <w:tc>
          <w:tcPr>
            <w:tcW w:w="1084" w:type="dxa"/>
            <w:tcBorders>
              <w:tl2br w:val="nil"/>
              <w:tr2bl w:val="nil"/>
            </w:tcBorders>
            <w:vAlign w:val="center"/>
          </w:tcPr>
          <w:p>
            <w:pPr>
              <w:pStyle w:val="23"/>
              <w:autoSpaceDE/>
              <w:autoSpaceDN/>
              <w:rPr>
                <w:rFonts w:eastAsiaTheme="minorEastAsia"/>
                <w:bCs/>
                <w:lang w:val="en-US"/>
              </w:rPr>
            </w:pPr>
            <w:r>
              <w:rPr>
                <w:rFonts w:eastAsiaTheme="minorEastAsia"/>
                <w:bCs/>
                <w:lang w:val="en-US"/>
              </w:rPr>
              <w:t>松柏湖水库</w:t>
            </w:r>
          </w:p>
        </w:tc>
        <w:tc>
          <w:tcPr>
            <w:tcW w:w="1076" w:type="dxa"/>
            <w:tcBorders>
              <w:tl2br w:val="nil"/>
              <w:tr2bl w:val="nil"/>
            </w:tcBorders>
            <w:vAlign w:val="center"/>
          </w:tcPr>
          <w:p>
            <w:pPr>
              <w:pStyle w:val="23"/>
              <w:autoSpaceDE/>
              <w:autoSpaceDN/>
              <w:rPr>
                <w:rFonts w:eastAsiaTheme="minorEastAsia"/>
                <w:bCs/>
                <w:lang w:val="en-US"/>
              </w:rPr>
            </w:pPr>
            <w:r>
              <w:rPr>
                <w:rFonts w:eastAsiaTheme="minorEastAsia"/>
                <w:bCs/>
                <w:lang w:val="en-US"/>
              </w:rPr>
              <w:t>柳山湖水厂</w:t>
            </w:r>
          </w:p>
        </w:tc>
        <w:tc>
          <w:tcPr>
            <w:tcW w:w="1105" w:type="dxa"/>
            <w:tcBorders>
              <w:tl2br w:val="nil"/>
              <w:tr2bl w:val="nil"/>
            </w:tcBorders>
            <w:vAlign w:val="center"/>
          </w:tcPr>
          <w:p>
            <w:pPr>
              <w:pStyle w:val="23"/>
              <w:autoSpaceDE/>
              <w:autoSpaceDN/>
              <w:rPr>
                <w:rFonts w:eastAsiaTheme="minorEastAsia"/>
                <w:bCs/>
                <w:lang w:val="en-US"/>
              </w:rPr>
            </w:pPr>
            <w:r>
              <w:rPr>
                <w:rFonts w:eastAsiaTheme="minorEastAsia"/>
                <w:bCs/>
                <w:lang w:val="en-US"/>
              </w:rPr>
              <w:t>陆水</w:t>
            </w:r>
          </w:p>
        </w:tc>
        <w:tc>
          <w:tcPr>
            <w:tcW w:w="704" w:type="dxa"/>
            <w:tcBorders>
              <w:tl2br w:val="nil"/>
              <w:tr2bl w:val="nil"/>
            </w:tcBorders>
            <w:vAlign w:val="center"/>
          </w:tcPr>
          <w:p>
            <w:pPr>
              <w:pStyle w:val="23"/>
              <w:autoSpaceDE/>
              <w:autoSpaceDN/>
              <w:rPr>
                <w:rFonts w:eastAsiaTheme="minorEastAsia"/>
                <w:bCs/>
                <w:lang w:val="en-US"/>
              </w:rPr>
            </w:pPr>
            <w:r>
              <w:rPr>
                <w:rFonts w:eastAsiaTheme="minorEastAsia"/>
                <w:bCs/>
                <w:lang w:val="en-US"/>
              </w:rPr>
              <w:t>水库</w:t>
            </w:r>
          </w:p>
        </w:tc>
        <w:tc>
          <w:tcPr>
            <w:tcW w:w="1171" w:type="dxa"/>
            <w:tcBorders>
              <w:tl2br w:val="nil"/>
              <w:tr2bl w:val="nil"/>
            </w:tcBorders>
            <w:vAlign w:val="center"/>
          </w:tcPr>
          <w:p>
            <w:pPr>
              <w:pStyle w:val="23"/>
              <w:autoSpaceDE/>
              <w:autoSpaceDN/>
              <w:rPr>
                <w:rFonts w:eastAsiaTheme="minorEastAsia"/>
                <w:bCs/>
                <w:lang w:val="en-US"/>
              </w:rPr>
            </w:pPr>
            <w:r>
              <w:rPr>
                <w:rFonts w:eastAsiaTheme="minorEastAsia"/>
                <w:bCs/>
                <w:lang w:val="en-US"/>
              </w:rPr>
              <w:t>柳山湖镇、赤壁镇</w:t>
            </w:r>
          </w:p>
        </w:tc>
        <w:tc>
          <w:tcPr>
            <w:tcW w:w="914" w:type="dxa"/>
            <w:tcBorders>
              <w:tl2br w:val="nil"/>
              <w:tr2bl w:val="nil"/>
            </w:tcBorders>
            <w:vAlign w:val="center"/>
          </w:tcPr>
          <w:p>
            <w:pPr>
              <w:pStyle w:val="23"/>
              <w:autoSpaceDE/>
              <w:autoSpaceDN/>
              <w:rPr>
                <w:rFonts w:eastAsiaTheme="minorEastAsia"/>
                <w:bCs/>
                <w:lang w:val="en-US"/>
              </w:rPr>
            </w:pPr>
            <w:r>
              <w:rPr>
                <w:rFonts w:eastAsiaTheme="minorEastAsia"/>
                <w:bCs/>
                <w:lang w:val="en-US"/>
              </w:rPr>
              <w:t>2.8万</w:t>
            </w:r>
          </w:p>
        </w:tc>
        <w:tc>
          <w:tcPr>
            <w:tcW w:w="915"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jc w:val="center"/>
        </w:trPr>
        <w:tc>
          <w:tcPr>
            <w:tcW w:w="547" w:type="dxa"/>
            <w:tcBorders>
              <w:tl2br w:val="nil"/>
              <w:tr2bl w:val="nil"/>
            </w:tcBorders>
            <w:vAlign w:val="center"/>
          </w:tcPr>
          <w:p>
            <w:pPr>
              <w:pStyle w:val="23"/>
              <w:autoSpaceDE/>
              <w:autoSpaceDN/>
              <w:rPr>
                <w:rFonts w:eastAsiaTheme="minorEastAsia"/>
                <w:bCs/>
                <w:lang w:val="en-US"/>
              </w:rPr>
            </w:pPr>
            <w:r>
              <w:rPr>
                <w:rFonts w:eastAsiaTheme="minorEastAsia"/>
                <w:bCs/>
                <w:lang w:val="en-US"/>
              </w:rPr>
              <w:t>5</w:t>
            </w:r>
          </w:p>
        </w:tc>
        <w:tc>
          <w:tcPr>
            <w:tcW w:w="1001" w:type="dxa"/>
            <w:tcBorders>
              <w:tl2br w:val="nil"/>
              <w:tr2bl w:val="nil"/>
            </w:tcBorders>
            <w:vAlign w:val="center"/>
          </w:tcPr>
          <w:p>
            <w:pPr>
              <w:pStyle w:val="23"/>
              <w:autoSpaceDE/>
              <w:autoSpaceDN/>
              <w:rPr>
                <w:rFonts w:eastAsiaTheme="minorEastAsia"/>
                <w:bCs/>
                <w:lang w:val="en-US"/>
              </w:rPr>
            </w:pPr>
            <w:r>
              <w:rPr>
                <w:rFonts w:eastAsiaTheme="minorEastAsia"/>
                <w:bCs/>
                <w:lang w:val="en-US"/>
              </w:rPr>
              <w:t>赤壁镇</w:t>
            </w:r>
          </w:p>
        </w:tc>
        <w:tc>
          <w:tcPr>
            <w:tcW w:w="1084" w:type="dxa"/>
            <w:tcBorders>
              <w:tl2br w:val="nil"/>
              <w:tr2bl w:val="nil"/>
            </w:tcBorders>
            <w:vAlign w:val="center"/>
          </w:tcPr>
          <w:p>
            <w:pPr>
              <w:pStyle w:val="23"/>
              <w:autoSpaceDE/>
              <w:autoSpaceDN/>
              <w:rPr>
                <w:rFonts w:eastAsiaTheme="minorEastAsia"/>
                <w:bCs/>
                <w:lang w:val="en-US"/>
              </w:rPr>
            </w:pPr>
            <w:r>
              <w:rPr>
                <w:rFonts w:eastAsiaTheme="minorEastAsia"/>
                <w:bCs/>
                <w:lang w:val="en-US"/>
              </w:rPr>
              <w:t>上矶</w:t>
            </w:r>
          </w:p>
        </w:tc>
        <w:tc>
          <w:tcPr>
            <w:tcW w:w="1076" w:type="dxa"/>
            <w:tcBorders>
              <w:tl2br w:val="nil"/>
              <w:tr2bl w:val="nil"/>
            </w:tcBorders>
            <w:vAlign w:val="center"/>
          </w:tcPr>
          <w:p>
            <w:pPr>
              <w:pStyle w:val="23"/>
              <w:autoSpaceDE/>
              <w:autoSpaceDN/>
              <w:rPr>
                <w:rFonts w:eastAsiaTheme="minorEastAsia"/>
                <w:bCs/>
                <w:lang w:val="en-US"/>
              </w:rPr>
            </w:pPr>
            <w:r>
              <w:rPr>
                <w:rFonts w:eastAsiaTheme="minorEastAsia"/>
                <w:bCs/>
                <w:lang w:val="en-US"/>
              </w:rPr>
              <w:t>赤壁镇自来水厂</w:t>
            </w:r>
          </w:p>
        </w:tc>
        <w:tc>
          <w:tcPr>
            <w:tcW w:w="1105" w:type="dxa"/>
            <w:tcBorders>
              <w:tl2br w:val="nil"/>
              <w:tr2bl w:val="nil"/>
            </w:tcBorders>
            <w:vAlign w:val="center"/>
          </w:tcPr>
          <w:p>
            <w:pPr>
              <w:pStyle w:val="23"/>
              <w:autoSpaceDE/>
              <w:autoSpaceDN/>
              <w:rPr>
                <w:rFonts w:eastAsiaTheme="minorEastAsia"/>
                <w:bCs/>
                <w:lang w:val="en-US"/>
              </w:rPr>
            </w:pPr>
            <w:r>
              <w:rPr>
                <w:rFonts w:eastAsiaTheme="minorEastAsia"/>
                <w:bCs/>
                <w:lang w:val="en-US"/>
              </w:rPr>
              <w:t>长江</w:t>
            </w:r>
          </w:p>
        </w:tc>
        <w:tc>
          <w:tcPr>
            <w:tcW w:w="704" w:type="dxa"/>
            <w:tcBorders>
              <w:tl2br w:val="nil"/>
              <w:tr2bl w:val="nil"/>
            </w:tcBorders>
            <w:vAlign w:val="center"/>
          </w:tcPr>
          <w:p>
            <w:pPr>
              <w:pStyle w:val="23"/>
              <w:autoSpaceDE/>
              <w:autoSpaceDN/>
              <w:rPr>
                <w:rFonts w:eastAsiaTheme="minorEastAsia"/>
                <w:bCs/>
                <w:lang w:val="en-US"/>
              </w:rPr>
            </w:pPr>
            <w:r>
              <w:rPr>
                <w:rFonts w:eastAsiaTheme="minorEastAsia"/>
                <w:bCs/>
                <w:lang w:val="en-US"/>
              </w:rPr>
              <w:t>河流</w:t>
            </w:r>
          </w:p>
        </w:tc>
        <w:tc>
          <w:tcPr>
            <w:tcW w:w="1171" w:type="dxa"/>
            <w:tcBorders>
              <w:tl2br w:val="nil"/>
              <w:tr2bl w:val="nil"/>
            </w:tcBorders>
            <w:vAlign w:val="center"/>
          </w:tcPr>
          <w:p>
            <w:pPr>
              <w:pStyle w:val="23"/>
              <w:autoSpaceDE/>
              <w:autoSpaceDN/>
              <w:rPr>
                <w:rFonts w:eastAsiaTheme="minorEastAsia"/>
                <w:bCs/>
                <w:lang w:val="en-US"/>
              </w:rPr>
            </w:pPr>
            <w:r>
              <w:rPr>
                <w:rFonts w:eastAsiaTheme="minorEastAsia"/>
                <w:bCs/>
                <w:lang w:val="en-US"/>
              </w:rPr>
              <w:t>赤壁镇</w:t>
            </w:r>
          </w:p>
        </w:tc>
        <w:tc>
          <w:tcPr>
            <w:tcW w:w="914"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1.3万</w:t>
            </w:r>
          </w:p>
        </w:tc>
        <w:tc>
          <w:tcPr>
            <w:tcW w:w="915"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jc w:val="center"/>
        </w:trPr>
        <w:tc>
          <w:tcPr>
            <w:tcW w:w="547" w:type="dxa"/>
            <w:tcBorders>
              <w:tl2br w:val="nil"/>
              <w:tr2bl w:val="nil"/>
            </w:tcBorders>
            <w:vAlign w:val="center"/>
          </w:tcPr>
          <w:p>
            <w:pPr>
              <w:pStyle w:val="23"/>
              <w:autoSpaceDE/>
              <w:autoSpaceDN/>
              <w:rPr>
                <w:rFonts w:eastAsiaTheme="minorEastAsia"/>
                <w:bCs/>
                <w:lang w:val="en-US"/>
              </w:rPr>
            </w:pPr>
            <w:r>
              <w:rPr>
                <w:rFonts w:eastAsiaTheme="minorEastAsia"/>
                <w:bCs/>
                <w:lang w:val="en-US"/>
              </w:rPr>
              <w:t>6</w:t>
            </w:r>
          </w:p>
        </w:tc>
        <w:tc>
          <w:tcPr>
            <w:tcW w:w="1001" w:type="dxa"/>
            <w:tcBorders>
              <w:tl2br w:val="nil"/>
              <w:tr2bl w:val="nil"/>
            </w:tcBorders>
            <w:vAlign w:val="center"/>
          </w:tcPr>
          <w:p>
            <w:pPr>
              <w:pStyle w:val="23"/>
              <w:autoSpaceDE/>
              <w:autoSpaceDN/>
              <w:rPr>
                <w:rFonts w:eastAsiaTheme="minorEastAsia"/>
                <w:bCs/>
                <w:lang w:val="en-US"/>
              </w:rPr>
            </w:pPr>
            <w:r>
              <w:rPr>
                <w:rFonts w:eastAsiaTheme="minorEastAsia"/>
                <w:bCs/>
                <w:lang w:val="en-US"/>
              </w:rPr>
              <w:t>黄盖湖镇</w:t>
            </w:r>
          </w:p>
        </w:tc>
        <w:tc>
          <w:tcPr>
            <w:tcW w:w="1084" w:type="dxa"/>
            <w:tcBorders>
              <w:tl2br w:val="nil"/>
              <w:tr2bl w:val="nil"/>
            </w:tcBorders>
            <w:vAlign w:val="center"/>
          </w:tcPr>
          <w:p>
            <w:pPr>
              <w:pStyle w:val="23"/>
              <w:autoSpaceDE/>
              <w:autoSpaceDN/>
              <w:rPr>
                <w:rFonts w:eastAsiaTheme="minorEastAsia"/>
                <w:bCs/>
                <w:lang w:val="en-US"/>
              </w:rPr>
            </w:pPr>
            <w:r>
              <w:rPr>
                <w:rFonts w:eastAsiaTheme="minorEastAsia"/>
                <w:bCs/>
                <w:lang w:val="en-US"/>
              </w:rPr>
              <w:t>前进水库</w:t>
            </w:r>
          </w:p>
        </w:tc>
        <w:tc>
          <w:tcPr>
            <w:tcW w:w="1076" w:type="dxa"/>
            <w:tcBorders>
              <w:tl2br w:val="nil"/>
              <w:tr2bl w:val="nil"/>
            </w:tcBorders>
            <w:vAlign w:val="center"/>
          </w:tcPr>
          <w:p>
            <w:pPr>
              <w:pStyle w:val="23"/>
              <w:autoSpaceDE/>
              <w:autoSpaceDN/>
              <w:rPr>
                <w:rFonts w:eastAsiaTheme="minorEastAsia"/>
                <w:bCs/>
                <w:lang w:val="en-US"/>
              </w:rPr>
            </w:pPr>
            <w:r>
              <w:rPr>
                <w:rFonts w:eastAsiaTheme="minorEastAsia"/>
                <w:bCs/>
                <w:lang w:val="en-US"/>
              </w:rPr>
              <w:t>黄盖湖水厂</w:t>
            </w:r>
          </w:p>
        </w:tc>
        <w:tc>
          <w:tcPr>
            <w:tcW w:w="1105" w:type="dxa"/>
            <w:tcBorders>
              <w:tl2br w:val="nil"/>
              <w:tr2bl w:val="nil"/>
            </w:tcBorders>
            <w:vAlign w:val="center"/>
          </w:tcPr>
          <w:p>
            <w:pPr>
              <w:pStyle w:val="23"/>
              <w:autoSpaceDE/>
              <w:autoSpaceDN/>
              <w:rPr>
                <w:rFonts w:eastAsiaTheme="minorEastAsia"/>
                <w:bCs/>
                <w:lang w:val="en-US"/>
              </w:rPr>
            </w:pPr>
            <w:r>
              <w:rPr>
                <w:rFonts w:eastAsiaTheme="minorEastAsia"/>
                <w:bCs/>
                <w:lang w:val="en-US"/>
              </w:rPr>
              <w:t>陆水</w:t>
            </w:r>
          </w:p>
        </w:tc>
        <w:tc>
          <w:tcPr>
            <w:tcW w:w="704" w:type="dxa"/>
            <w:tcBorders>
              <w:tl2br w:val="nil"/>
              <w:tr2bl w:val="nil"/>
            </w:tcBorders>
            <w:vAlign w:val="center"/>
          </w:tcPr>
          <w:p>
            <w:pPr>
              <w:pStyle w:val="23"/>
              <w:autoSpaceDE/>
              <w:autoSpaceDN/>
              <w:rPr>
                <w:rFonts w:eastAsiaTheme="minorEastAsia"/>
                <w:bCs/>
                <w:lang w:val="en-US"/>
              </w:rPr>
            </w:pPr>
            <w:r>
              <w:rPr>
                <w:rFonts w:eastAsiaTheme="minorEastAsia"/>
                <w:bCs/>
                <w:lang w:val="en-US"/>
              </w:rPr>
              <w:t>水库</w:t>
            </w:r>
          </w:p>
        </w:tc>
        <w:tc>
          <w:tcPr>
            <w:tcW w:w="1171" w:type="dxa"/>
            <w:tcBorders>
              <w:tl2br w:val="nil"/>
              <w:tr2bl w:val="nil"/>
            </w:tcBorders>
            <w:vAlign w:val="center"/>
          </w:tcPr>
          <w:p>
            <w:pPr>
              <w:pStyle w:val="23"/>
              <w:autoSpaceDE/>
              <w:autoSpaceDN/>
              <w:rPr>
                <w:rFonts w:eastAsiaTheme="minorEastAsia"/>
                <w:bCs/>
                <w:lang w:val="en-US"/>
              </w:rPr>
            </w:pPr>
            <w:r>
              <w:rPr>
                <w:rFonts w:eastAsiaTheme="minorEastAsia"/>
                <w:bCs/>
                <w:lang w:val="en-US"/>
              </w:rPr>
              <w:t>黄盖湖镇</w:t>
            </w:r>
          </w:p>
        </w:tc>
        <w:tc>
          <w:tcPr>
            <w:tcW w:w="914"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1.0万</w:t>
            </w:r>
          </w:p>
        </w:tc>
        <w:tc>
          <w:tcPr>
            <w:tcW w:w="915"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jc w:val="center"/>
        </w:trPr>
        <w:tc>
          <w:tcPr>
            <w:tcW w:w="547" w:type="dxa"/>
            <w:tcBorders>
              <w:tl2br w:val="nil"/>
              <w:tr2bl w:val="nil"/>
            </w:tcBorders>
            <w:vAlign w:val="center"/>
          </w:tcPr>
          <w:p>
            <w:pPr>
              <w:pStyle w:val="23"/>
              <w:autoSpaceDE/>
              <w:autoSpaceDN/>
              <w:rPr>
                <w:rFonts w:eastAsiaTheme="minorEastAsia"/>
                <w:bCs/>
                <w:lang w:val="en-US"/>
              </w:rPr>
            </w:pPr>
            <w:r>
              <w:rPr>
                <w:rFonts w:eastAsiaTheme="minorEastAsia"/>
                <w:bCs/>
                <w:lang w:val="en-US"/>
              </w:rPr>
              <w:t>7</w:t>
            </w:r>
          </w:p>
        </w:tc>
        <w:tc>
          <w:tcPr>
            <w:tcW w:w="1001" w:type="dxa"/>
            <w:tcBorders>
              <w:tl2br w:val="nil"/>
              <w:tr2bl w:val="nil"/>
            </w:tcBorders>
            <w:vAlign w:val="center"/>
          </w:tcPr>
          <w:p>
            <w:pPr>
              <w:pStyle w:val="23"/>
              <w:autoSpaceDE/>
              <w:autoSpaceDN/>
              <w:rPr>
                <w:rFonts w:eastAsiaTheme="minorEastAsia"/>
                <w:bCs/>
                <w:lang w:val="en-US"/>
              </w:rPr>
            </w:pPr>
            <w:r>
              <w:rPr>
                <w:rFonts w:eastAsiaTheme="minorEastAsia"/>
                <w:bCs/>
                <w:lang w:val="en-US"/>
              </w:rPr>
              <w:t>官塘驿镇</w:t>
            </w:r>
          </w:p>
        </w:tc>
        <w:tc>
          <w:tcPr>
            <w:tcW w:w="1084" w:type="dxa"/>
            <w:tcBorders>
              <w:tl2br w:val="nil"/>
              <w:tr2bl w:val="nil"/>
            </w:tcBorders>
            <w:vAlign w:val="center"/>
          </w:tcPr>
          <w:p>
            <w:pPr>
              <w:pStyle w:val="23"/>
              <w:autoSpaceDE/>
              <w:autoSpaceDN/>
              <w:rPr>
                <w:rFonts w:eastAsiaTheme="minorEastAsia"/>
                <w:bCs/>
                <w:lang w:val="en-US"/>
              </w:rPr>
            </w:pPr>
            <w:r>
              <w:rPr>
                <w:rFonts w:eastAsiaTheme="minorEastAsia"/>
                <w:bCs/>
                <w:lang w:val="en-US"/>
              </w:rPr>
              <w:t>双石水库</w:t>
            </w:r>
          </w:p>
        </w:tc>
        <w:tc>
          <w:tcPr>
            <w:tcW w:w="1076" w:type="dxa"/>
            <w:tcBorders>
              <w:tl2br w:val="nil"/>
              <w:tr2bl w:val="nil"/>
            </w:tcBorders>
            <w:vAlign w:val="center"/>
          </w:tcPr>
          <w:p>
            <w:pPr>
              <w:pStyle w:val="23"/>
              <w:autoSpaceDE/>
              <w:autoSpaceDN/>
              <w:rPr>
                <w:rFonts w:eastAsiaTheme="minorEastAsia"/>
                <w:bCs/>
                <w:lang w:val="en-US"/>
              </w:rPr>
            </w:pPr>
            <w:r>
              <w:rPr>
                <w:rFonts w:eastAsiaTheme="minorEastAsia"/>
                <w:bCs/>
                <w:lang w:val="en-US"/>
              </w:rPr>
              <w:t>官塘水厂</w:t>
            </w:r>
          </w:p>
        </w:tc>
        <w:tc>
          <w:tcPr>
            <w:tcW w:w="1105" w:type="dxa"/>
            <w:tcBorders>
              <w:tl2br w:val="nil"/>
              <w:tr2bl w:val="nil"/>
            </w:tcBorders>
            <w:vAlign w:val="center"/>
          </w:tcPr>
          <w:p>
            <w:pPr>
              <w:pStyle w:val="23"/>
              <w:autoSpaceDE/>
              <w:autoSpaceDN/>
              <w:rPr>
                <w:rFonts w:eastAsiaTheme="minorEastAsia"/>
                <w:bCs/>
                <w:lang w:val="en-US"/>
              </w:rPr>
            </w:pPr>
            <w:r>
              <w:rPr>
                <w:rFonts w:eastAsiaTheme="minorEastAsia"/>
                <w:bCs/>
                <w:lang w:val="en-US"/>
              </w:rPr>
              <w:t>陆水</w:t>
            </w:r>
          </w:p>
        </w:tc>
        <w:tc>
          <w:tcPr>
            <w:tcW w:w="704" w:type="dxa"/>
            <w:tcBorders>
              <w:tl2br w:val="nil"/>
              <w:tr2bl w:val="nil"/>
            </w:tcBorders>
            <w:vAlign w:val="center"/>
          </w:tcPr>
          <w:p>
            <w:pPr>
              <w:pStyle w:val="23"/>
              <w:autoSpaceDE/>
              <w:autoSpaceDN/>
              <w:rPr>
                <w:rFonts w:eastAsiaTheme="minorEastAsia"/>
                <w:bCs/>
                <w:lang w:val="en-US"/>
              </w:rPr>
            </w:pPr>
            <w:r>
              <w:rPr>
                <w:rFonts w:eastAsiaTheme="minorEastAsia"/>
                <w:bCs/>
                <w:lang w:val="en-US"/>
              </w:rPr>
              <w:t>水库</w:t>
            </w:r>
          </w:p>
        </w:tc>
        <w:tc>
          <w:tcPr>
            <w:tcW w:w="1171" w:type="dxa"/>
            <w:tcBorders>
              <w:tl2br w:val="nil"/>
              <w:tr2bl w:val="nil"/>
            </w:tcBorders>
            <w:vAlign w:val="center"/>
          </w:tcPr>
          <w:p>
            <w:pPr>
              <w:pStyle w:val="23"/>
              <w:autoSpaceDE/>
              <w:autoSpaceDN/>
              <w:rPr>
                <w:rFonts w:eastAsiaTheme="minorEastAsia"/>
                <w:bCs/>
                <w:lang w:val="en-US"/>
              </w:rPr>
            </w:pPr>
            <w:r>
              <w:rPr>
                <w:rFonts w:eastAsiaTheme="minorEastAsia"/>
                <w:bCs/>
                <w:lang w:val="en-US"/>
              </w:rPr>
              <w:t>官塘驿镇、中伙铺镇、官塘林场</w:t>
            </w:r>
          </w:p>
        </w:tc>
        <w:tc>
          <w:tcPr>
            <w:tcW w:w="914"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6.3万</w:t>
            </w:r>
          </w:p>
        </w:tc>
        <w:tc>
          <w:tcPr>
            <w:tcW w:w="915"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jc w:val="center"/>
        </w:trPr>
        <w:tc>
          <w:tcPr>
            <w:tcW w:w="547" w:type="dxa"/>
            <w:tcBorders>
              <w:tl2br w:val="nil"/>
              <w:tr2bl w:val="nil"/>
            </w:tcBorders>
            <w:vAlign w:val="center"/>
          </w:tcPr>
          <w:p>
            <w:pPr>
              <w:pStyle w:val="23"/>
              <w:autoSpaceDE/>
              <w:autoSpaceDN/>
              <w:rPr>
                <w:rFonts w:eastAsiaTheme="minorEastAsia"/>
                <w:bCs/>
                <w:lang w:val="en-US"/>
              </w:rPr>
            </w:pPr>
            <w:r>
              <w:rPr>
                <w:rFonts w:eastAsiaTheme="minorEastAsia"/>
                <w:bCs/>
                <w:lang w:val="en-US"/>
              </w:rPr>
              <w:t>8</w:t>
            </w:r>
          </w:p>
        </w:tc>
        <w:tc>
          <w:tcPr>
            <w:tcW w:w="1001" w:type="dxa"/>
            <w:tcBorders>
              <w:tl2br w:val="nil"/>
              <w:tr2bl w:val="nil"/>
            </w:tcBorders>
            <w:vAlign w:val="center"/>
          </w:tcPr>
          <w:p>
            <w:pPr>
              <w:pStyle w:val="23"/>
              <w:autoSpaceDE/>
              <w:autoSpaceDN/>
              <w:rPr>
                <w:rFonts w:eastAsiaTheme="minorEastAsia"/>
                <w:bCs/>
                <w:lang w:val="en-US"/>
              </w:rPr>
            </w:pPr>
            <w:r>
              <w:rPr>
                <w:rFonts w:eastAsiaTheme="minorEastAsia"/>
                <w:bCs/>
                <w:lang w:val="en-US"/>
              </w:rPr>
              <w:t>神山镇</w:t>
            </w:r>
          </w:p>
        </w:tc>
        <w:tc>
          <w:tcPr>
            <w:tcW w:w="1084" w:type="dxa"/>
            <w:tcBorders>
              <w:tl2br w:val="nil"/>
              <w:tr2bl w:val="nil"/>
            </w:tcBorders>
            <w:vAlign w:val="center"/>
          </w:tcPr>
          <w:p>
            <w:pPr>
              <w:pStyle w:val="23"/>
              <w:autoSpaceDE/>
              <w:autoSpaceDN/>
              <w:rPr>
                <w:rFonts w:eastAsiaTheme="minorEastAsia"/>
                <w:bCs/>
                <w:lang w:val="en-US"/>
              </w:rPr>
            </w:pPr>
            <w:r>
              <w:rPr>
                <w:rFonts w:eastAsiaTheme="minorEastAsia"/>
                <w:bCs/>
                <w:lang w:val="en-US"/>
              </w:rPr>
              <w:t>张家坝水库</w:t>
            </w:r>
          </w:p>
        </w:tc>
        <w:tc>
          <w:tcPr>
            <w:tcW w:w="1076" w:type="dxa"/>
            <w:tcBorders>
              <w:tl2br w:val="nil"/>
              <w:tr2bl w:val="nil"/>
            </w:tcBorders>
            <w:vAlign w:val="center"/>
          </w:tcPr>
          <w:p>
            <w:pPr>
              <w:pStyle w:val="23"/>
              <w:autoSpaceDE/>
              <w:autoSpaceDN/>
              <w:rPr>
                <w:rFonts w:eastAsiaTheme="minorEastAsia"/>
                <w:bCs/>
                <w:lang w:val="en-US"/>
              </w:rPr>
            </w:pPr>
            <w:r>
              <w:rPr>
                <w:rFonts w:eastAsiaTheme="minorEastAsia"/>
                <w:bCs/>
                <w:lang w:val="en-US"/>
              </w:rPr>
              <w:t>张家坝水厂</w:t>
            </w:r>
          </w:p>
        </w:tc>
        <w:tc>
          <w:tcPr>
            <w:tcW w:w="1105" w:type="dxa"/>
            <w:tcBorders>
              <w:tl2br w:val="nil"/>
              <w:tr2bl w:val="nil"/>
            </w:tcBorders>
            <w:vAlign w:val="center"/>
          </w:tcPr>
          <w:p>
            <w:pPr>
              <w:pStyle w:val="23"/>
              <w:autoSpaceDE/>
              <w:autoSpaceDN/>
              <w:rPr>
                <w:rFonts w:eastAsiaTheme="minorEastAsia"/>
                <w:bCs/>
                <w:lang w:val="en-US"/>
              </w:rPr>
            </w:pPr>
            <w:r>
              <w:rPr>
                <w:rFonts w:eastAsiaTheme="minorEastAsia"/>
                <w:bCs/>
                <w:lang w:val="en-US"/>
              </w:rPr>
              <w:t>陆水</w:t>
            </w:r>
          </w:p>
        </w:tc>
        <w:tc>
          <w:tcPr>
            <w:tcW w:w="704" w:type="dxa"/>
            <w:tcBorders>
              <w:tl2br w:val="nil"/>
              <w:tr2bl w:val="nil"/>
            </w:tcBorders>
            <w:vAlign w:val="center"/>
          </w:tcPr>
          <w:p>
            <w:pPr>
              <w:pStyle w:val="23"/>
              <w:autoSpaceDE/>
              <w:autoSpaceDN/>
              <w:rPr>
                <w:rFonts w:eastAsiaTheme="minorEastAsia"/>
                <w:bCs/>
                <w:lang w:val="en-US"/>
              </w:rPr>
            </w:pPr>
            <w:r>
              <w:rPr>
                <w:rFonts w:eastAsiaTheme="minorEastAsia"/>
                <w:bCs/>
                <w:lang w:val="en-US"/>
              </w:rPr>
              <w:t>水库</w:t>
            </w:r>
          </w:p>
        </w:tc>
        <w:tc>
          <w:tcPr>
            <w:tcW w:w="1171" w:type="dxa"/>
            <w:tcBorders>
              <w:tl2br w:val="nil"/>
              <w:tr2bl w:val="nil"/>
            </w:tcBorders>
            <w:vAlign w:val="center"/>
          </w:tcPr>
          <w:p>
            <w:pPr>
              <w:pStyle w:val="23"/>
              <w:autoSpaceDE/>
              <w:autoSpaceDN/>
              <w:rPr>
                <w:rFonts w:eastAsiaTheme="minorEastAsia"/>
                <w:bCs/>
                <w:lang w:val="en-US"/>
              </w:rPr>
            </w:pPr>
            <w:r>
              <w:rPr>
                <w:rFonts w:eastAsiaTheme="minorEastAsia"/>
                <w:bCs/>
                <w:lang w:val="en-US"/>
              </w:rPr>
              <w:t>神山镇、中伙铺镇</w:t>
            </w:r>
          </w:p>
        </w:tc>
        <w:tc>
          <w:tcPr>
            <w:tcW w:w="914"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4.3万</w:t>
            </w:r>
          </w:p>
        </w:tc>
        <w:tc>
          <w:tcPr>
            <w:tcW w:w="915"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3200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jc w:val="center"/>
        </w:trPr>
        <w:tc>
          <w:tcPr>
            <w:tcW w:w="547" w:type="dxa"/>
            <w:tcBorders>
              <w:tl2br w:val="nil"/>
              <w:tr2bl w:val="nil"/>
            </w:tcBorders>
            <w:vAlign w:val="center"/>
          </w:tcPr>
          <w:p>
            <w:pPr>
              <w:pStyle w:val="23"/>
              <w:autoSpaceDE/>
              <w:autoSpaceDN/>
              <w:rPr>
                <w:rFonts w:eastAsiaTheme="minorEastAsia"/>
                <w:bCs/>
                <w:lang w:val="en-US"/>
              </w:rPr>
            </w:pPr>
            <w:r>
              <w:rPr>
                <w:rFonts w:eastAsiaTheme="minorEastAsia"/>
                <w:bCs/>
                <w:lang w:val="en-US"/>
              </w:rPr>
              <w:t>9</w:t>
            </w:r>
          </w:p>
        </w:tc>
        <w:tc>
          <w:tcPr>
            <w:tcW w:w="1001" w:type="dxa"/>
            <w:tcBorders>
              <w:tl2br w:val="nil"/>
              <w:tr2bl w:val="nil"/>
            </w:tcBorders>
            <w:vAlign w:val="center"/>
          </w:tcPr>
          <w:p>
            <w:pPr>
              <w:pStyle w:val="23"/>
              <w:autoSpaceDE/>
              <w:autoSpaceDN/>
              <w:rPr>
                <w:rFonts w:eastAsiaTheme="minorEastAsia"/>
                <w:bCs/>
                <w:lang w:val="en-US"/>
              </w:rPr>
            </w:pPr>
            <w:r>
              <w:rPr>
                <w:rFonts w:eastAsiaTheme="minorEastAsia"/>
                <w:bCs/>
                <w:lang w:val="en-US"/>
              </w:rPr>
              <w:t>新店镇</w:t>
            </w:r>
          </w:p>
        </w:tc>
        <w:tc>
          <w:tcPr>
            <w:tcW w:w="1084" w:type="dxa"/>
            <w:tcBorders>
              <w:tl2br w:val="nil"/>
              <w:tr2bl w:val="nil"/>
            </w:tcBorders>
            <w:vAlign w:val="center"/>
          </w:tcPr>
          <w:p>
            <w:pPr>
              <w:pStyle w:val="23"/>
              <w:autoSpaceDE/>
              <w:autoSpaceDN/>
              <w:rPr>
                <w:rFonts w:eastAsiaTheme="minorEastAsia"/>
                <w:bCs/>
                <w:lang w:val="en-US"/>
              </w:rPr>
            </w:pPr>
            <w:r>
              <w:rPr>
                <w:rFonts w:eastAsiaTheme="minorEastAsia"/>
                <w:bCs/>
                <w:lang w:val="en-US"/>
              </w:rPr>
              <w:t>皤河</w:t>
            </w:r>
          </w:p>
        </w:tc>
        <w:tc>
          <w:tcPr>
            <w:tcW w:w="1076" w:type="dxa"/>
            <w:tcBorders>
              <w:tl2br w:val="nil"/>
              <w:tr2bl w:val="nil"/>
            </w:tcBorders>
            <w:vAlign w:val="center"/>
          </w:tcPr>
          <w:p>
            <w:pPr>
              <w:pStyle w:val="23"/>
              <w:autoSpaceDE/>
              <w:autoSpaceDN/>
              <w:rPr>
                <w:rFonts w:eastAsiaTheme="minorEastAsia"/>
                <w:bCs/>
                <w:lang w:val="en-US"/>
              </w:rPr>
            </w:pPr>
            <w:r>
              <w:rPr>
                <w:rFonts w:eastAsiaTheme="minorEastAsia"/>
                <w:bCs/>
                <w:lang w:val="en-US"/>
              </w:rPr>
              <w:t>新店镇自来水厂</w:t>
            </w:r>
          </w:p>
        </w:tc>
        <w:tc>
          <w:tcPr>
            <w:tcW w:w="1105" w:type="dxa"/>
            <w:tcBorders>
              <w:tl2br w:val="nil"/>
              <w:tr2bl w:val="nil"/>
            </w:tcBorders>
            <w:vAlign w:val="center"/>
          </w:tcPr>
          <w:p>
            <w:pPr>
              <w:pStyle w:val="23"/>
              <w:autoSpaceDE/>
              <w:autoSpaceDN/>
              <w:rPr>
                <w:rFonts w:eastAsiaTheme="minorEastAsia"/>
                <w:bCs/>
                <w:lang w:val="en-US"/>
              </w:rPr>
            </w:pPr>
            <w:r>
              <w:rPr>
                <w:rFonts w:eastAsiaTheme="minorEastAsia"/>
                <w:bCs/>
                <w:lang w:val="en-US"/>
              </w:rPr>
              <w:t>皤河</w:t>
            </w:r>
          </w:p>
        </w:tc>
        <w:tc>
          <w:tcPr>
            <w:tcW w:w="704" w:type="dxa"/>
            <w:tcBorders>
              <w:tl2br w:val="nil"/>
              <w:tr2bl w:val="nil"/>
            </w:tcBorders>
            <w:vAlign w:val="center"/>
          </w:tcPr>
          <w:p>
            <w:pPr>
              <w:pStyle w:val="23"/>
              <w:autoSpaceDE/>
              <w:autoSpaceDN/>
              <w:rPr>
                <w:rFonts w:eastAsiaTheme="minorEastAsia"/>
                <w:bCs/>
                <w:lang w:val="en-US"/>
              </w:rPr>
            </w:pPr>
            <w:r>
              <w:rPr>
                <w:rFonts w:eastAsiaTheme="minorEastAsia"/>
                <w:bCs/>
                <w:lang w:val="en-US"/>
              </w:rPr>
              <w:t>河流</w:t>
            </w:r>
          </w:p>
        </w:tc>
        <w:tc>
          <w:tcPr>
            <w:tcW w:w="1171" w:type="dxa"/>
            <w:tcBorders>
              <w:tl2br w:val="nil"/>
              <w:tr2bl w:val="nil"/>
            </w:tcBorders>
            <w:vAlign w:val="center"/>
          </w:tcPr>
          <w:p>
            <w:pPr>
              <w:pStyle w:val="23"/>
              <w:autoSpaceDE/>
              <w:autoSpaceDN/>
              <w:rPr>
                <w:rFonts w:eastAsiaTheme="minorEastAsia"/>
                <w:bCs/>
                <w:lang w:val="en-US"/>
              </w:rPr>
            </w:pPr>
            <w:r>
              <w:rPr>
                <w:rFonts w:eastAsiaTheme="minorEastAsia"/>
                <w:bCs/>
                <w:lang w:val="en-US"/>
              </w:rPr>
              <w:t>新店镇</w:t>
            </w:r>
          </w:p>
        </w:tc>
        <w:tc>
          <w:tcPr>
            <w:tcW w:w="914"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2.5万</w:t>
            </w:r>
          </w:p>
        </w:tc>
        <w:tc>
          <w:tcPr>
            <w:tcW w:w="915"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2000</w:t>
            </w:r>
          </w:p>
        </w:tc>
      </w:tr>
    </w:tbl>
    <w:p>
      <w:pPr>
        <w:pStyle w:val="24"/>
        <w:ind w:firstLine="0" w:firstLineChars="0"/>
        <w:rPr>
          <w:rFonts w:cs="Times New Roman"/>
          <w:b/>
          <w:bCs/>
          <w:lang w:val="en-US"/>
        </w:rPr>
        <w:sectPr>
          <w:pgSz w:w="11906" w:h="16838"/>
          <w:pgMar w:top="1440" w:right="1800" w:bottom="1440" w:left="1800" w:header="1134" w:footer="992" w:gutter="0"/>
          <w:pgNumType w:fmt="numberInDash"/>
          <w:cols w:space="425" w:num="1"/>
          <w:docGrid w:type="lines" w:linePitch="312" w:charSpace="0"/>
        </w:sectPr>
      </w:pPr>
    </w:p>
    <w:p>
      <w:pPr>
        <w:pStyle w:val="3"/>
        <w:jc w:val="both"/>
        <w:rPr>
          <w:sz w:val="32"/>
          <w:szCs w:val="32"/>
        </w:rPr>
      </w:pPr>
      <w:bookmarkStart w:id="234" w:name="_Toc11042"/>
      <w:bookmarkStart w:id="235" w:name="_Toc72337763"/>
      <w:bookmarkStart w:id="236" w:name="_Toc6281"/>
      <w:r>
        <w:rPr>
          <w:rFonts w:hint="eastAsia"/>
          <w:sz w:val="32"/>
          <w:szCs w:val="32"/>
        </w:rPr>
        <w:t xml:space="preserve">附件 </w:t>
      </w:r>
      <w:r>
        <w:rPr>
          <w:rFonts w:hint="eastAsia"/>
          <w:sz w:val="32"/>
          <w:szCs w:val="32"/>
          <w:lang w:val="en-US"/>
        </w:rPr>
        <w:t>2</w:t>
      </w:r>
      <w:r>
        <w:rPr>
          <w:rFonts w:hint="eastAsia"/>
          <w:sz w:val="32"/>
          <w:szCs w:val="32"/>
        </w:rPr>
        <w:t xml:space="preserve"> 集中式饮用水水源地突发环境事件应急指挥机构成员</w:t>
      </w:r>
      <w:bookmarkEnd w:id="234"/>
      <w:bookmarkEnd w:id="235"/>
      <w:bookmarkEnd w:id="236"/>
    </w:p>
    <w:p>
      <w:pPr>
        <w:pStyle w:val="7"/>
        <w:spacing w:before="3"/>
        <w:rPr>
          <w:rFonts w:ascii="Microsoft JhengHei"/>
          <w:b/>
          <w:sz w:val="10"/>
        </w:rPr>
      </w:pPr>
    </w:p>
    <w:tbl>
      <w:tblPr>
        <w:tblStyle w:val="20"/>
        <w:tblW w:w="8341" w:type="dxa"/>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3257"/>
        <w:gridCol w:w="5084"/>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52" w:hRule="atLeast"/>
        </w:trPr>
        <w:tc>
          <w:tcPr>
            <w:tcW w:w="3257" w:type="dxa"/>
            <w:tcBorders>
              <w:tl2br w:val="nil"/>
              <w:tr2bl w:val="nil"/>
            </w:tcBorders>
            <w:tcMar>
              <w:top w:w="0" w:type="dxa"/>
              <w:left w:w="0" w:type="dxa"/>
              <w:bottom w:w="0" w:type="dxa"/>
              <w:right w:w="0" w:type="dxa"/>
            </w:tcMar>
            <w:vAlign w:val="center"/>
          </w:tcPr>
          <w:p>
            <w:pPr>
              <w:pStyle w:val="23"/>
              <w:autoSpaceDE/>
              <w:autoSpaceDN/>
              <w:rPr>
                <w:rFonts w:eastAsiaTheme="minorEastAsia"/>
                <w:bCs/>
              </w:rPr>
            </w:pPr>
            <w:r>
              <w:rPr>
                <w:rFonts w:hint="eastAsia" w:eastAsiaTheme="minorEastAsia"/>
                <w:bCs/>
              </w:rPr>
              <w:t>名称</w:t>
            </w:r>
          </w:p>
        </w:tc>
        <w:tc>
          <w:tcPr>
            <w:tcW w:w="5084" w:type="dxa"/>
            <w:tcBorders>
              <w:tl2br w:val="nil"/>
              <w:tr2bl w:val="nil"/>
            </w:tcBorders>
            <w:tcMar>
              <w:top w:w="0" w:type="dxa"/>
              <w:left w:w="0" w:type="dxa"/>
              <w:bottom w:w="0" w:type="dxa"/>
              <w:right w:w="0" w:type="dxa"/>
            </w:tcMar>
            <w:vAlign w:val="center"/>
          </w:tcPr>
          <w:p>
            <w:pPr>
              <w:pStyle w:val="23"/>
              <w:autoSpaceDE/>
              <w:autoSpaceDN/>
              <w:rPr>
                <w:rFonts w:eastAsiaTheme="minorEastAsia"/>
                <w:bCs/>
              </w:rPr>
            </w:pPr>
            <w:r>
              <w:rPr>
                <w:rFonts w:hint="eastAsia" w:eastAsiaTheme="minorEastAsia"/>
                <w:bCs/>
              </w:rPr>
              <w:t>成员</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52" w:hRule="atLeast"/>
        </w:trPr>
        <w:tc>
          <w:tcPr>
            <w:tcW w:w="3257" w:type="dxa"/>
            <w:tcBorders>
              <w:tl2br w:val="nil"/>
              <w:tr2bl w:val="nil"/>
            </w:tcBorders>
            <w:tcMar>
              <w:top w:w="0" w:type="dxa"/>
              <w:left w:w="0" w:type="dxa"/>
              <w:bottom w:w="0" w:type="dxa"/>
              <w:right w:w="0" w:type="dxa"/>
            </w:tcMar>
            <w:vAlign w:val="center"/>
          </w:tcPr>
          <w:p>
            <w:pPr>
              <w:pStyle w:val="23"/>
              <w:autoSpaceDE/>
              <w:autoSpaceDN/>
              <w:rPr>
                <w:rFonts w:eastAsiaTheme="minorEastAsia"/>
                <w:bCs/>
              </w:rPr>
            </w:pPr>
            <w:r>
              <w:rPr>
                <w:rFonts w:eastAsiaTheme="minorEastAsia"/>
                <w:bCs/>
              </w:rPr>
              <w:t>总指挥</w:t>
            </w:r>
          </w:p>
        </w:tc>
        <w:tc>
          <w:tcPr>
            <w:tcW w:w="5084" w:type="dxa"/>
            <w:tcBorders>
              <w:tl2br w:val="nil"/>
              <w:tr2bl w:val="nil"/>
            </w:tcBorders>
            <w:tcMar>
              <w:top w:w="0" w:type="dxa"/>
              <w:left w:w="0" w:type="dxa"/>
              <w:bottom w:w="0" w:type="dxa"/>
              <w:right w:w="0" w:type="dxa"/>
            </w:tcMar>
            <w:vAlign w:val="center"/>
          </w:tcPr>
          <w:p>
            <w:pPr>
              <w:pStyle w:val="23"/>
              <w:autoSpaceDE/>
              <w:autoSpaceDN/>
              <w:rPr>
                <w:rFonts w:eastAsiaTheme="minorEastAsia"/>
                <w:bCs/>
              </w:rPr>
            </w:pPr>
            <w:r>
              <w:rPr>
                <w:rFonts w:hint="eastAsia" w:eastAsiaTheme="minorEastAsia"/>
                <w:bCs/>
              </w:rPr>
              <w:t>赤壁市</w:t>
            </w:r>
            <w:r>
              <w:rPr>
                <w:rFonts w:eastAsiaTheme="minorEastAsia"/>
                <w:bCs/>
              </w:rPr>
              <w:t>政府分管副</w:t>
            </w:r>
            <w:r>
              <w:rPr>
                <w:rFonts w:hint="eastAsia" w:eastAsiaTheme="minorEastAsia"/>
                <w:bCs/>
              </w:rPr>
              <w:t>市</w:t>
            </w:r>
            <w:r>
              <w:rPr>
                <w:rFonts w:eastAsiaTheme="minorEastAsia"/>
                <w:bCs/>
              </w:rPr>
              <w:t>长，当发生特别重大的突发水环境事件时，</w:t>
            </w:r>
            <w:r>
              <w:rPr>
                <w:rFonts w:hint="eastAsia" w:eastAsiaTheme="minorEastAsia"/>
                <w:bCs/>
              </w:rPr>
              <w:t>市</w:t>
            </w:r>
            <w:r>
              <w:rPr>
                <w:rFonts w:eastAsiaTheme="minorEastAsia"/>
                <w:bCs/>
              </w:rPr>
              <w:t>长担任总指挥</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592" w:hRule="atLeast"/>
        </w:trPr>
        <w:tc>
          <w:tcPr>
            <w:tcW w:w="3257" w:type="dxa"/>
            <w:tcBorders>
              <w:tl2br w:val="nil"/>
              <w:tr2bl w:val="nil"/>
            </w:tcBorders>
            <w:tcMar>
              <w:top w:w="0" w:type="dxa"/>
              <w:left w:w="0" w:type="dxa"/>
              <w:bottom w:w="0" w:type="dxa"/>
              <w:right w:w="0" w:type="dxa"/>
            </w:tcMar>
            <w:vAlign w:val="center"/>
          </w:tcPr>
          <w:p>
            <w:pPr>
              <w:pStyle w:val="23"/>
              <w:autoSpaceDE/>
              <w:autoSpaceDN/>
              <w:rPr>
                <w:rFonts w:eastAsiaTheme="minorEastAsia"/>
                <w:bCs/>
              </w:rPr>
            </w:pPr>
            <w:r>
              <w:rPr>
                <w:rFonts w:eastAsiaTheme="minorEastAsia"/>
                <w:bCs/>
              </w:rPr>
              <w:t>水环境应急办公室主任</w:t>
            </w:r>
          </w:p>
        </w:tc>
        <w:tc>
          <w:tcPr>
            <w:tcW w:w="5084" w:type="dxa"/>
            <w:tcBorders>
              <w:tl2br w:val="nil"/>
              <w:tr2bl w:val="nil"/>
            </w:tcBorders>
            <w:tcMar>
              <w:top w:w="0" w:type="dxa"/>
              <w:left w:w="0" w:type="dxa"/>
              <w:bottom w:w="0" w:type="dxa"/>
              <w:right w:w="0" w:type="dxa"/>
            </w:tcMar>
            <w:vAlign w:val="center"/>
          </w:tcPr>
          <w:p>
            <w:pPr>
              <w:pStyle w:val="23"/>
              <w:autoSpaceDE/>
              <w:autoSpaceDN/>
              <w:rPr>
                <w:rFonts w:eastAsiaTheme="minorEastAsia"/>
                <w:bCs/>
              </w:rPr>
            </w:pPr>
            <w:r>
              <w:rPr>
                <w:rFonts w:eastAsiaTheme="minorEastAsia"/>
                <w:bCs/>
              </w:rPr>
              <w:t>咸宁市生态环境局</w:t>
            </w:r>
            <w:r>
              <w:rPr>
                <w:rFonts w:hint="eastAsia" w:eastAsiaTheme="minorEastAsia"/>
                <w:bCs/>
              </w:rPr>
              <w:t>赤壁市</w:t>
            </w:r>
            <w:r>
              <w:rPr>
                <w:rFonts w:eastAsiaTheme="minorEastAsia"/>
                <w:bCs/>
              </w:rPr>
              <w:t>分局局长</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546" w:hRule="atLeast"/>
        </w:trPr>
        <w:tc>
          <w:tcPr>
            <w:tcW w:w="3257" w:type="dxa"/>
            <w:tcBorders>
              <w:tl2br w:val="nil"/>
              <w:tr2bl w:val="nil"/>
            </w:tcBorders>
            <w:tcMar>
              <w:top w:w="0" w:type="dxa"/>
              <w:left w:w="0" w:type="dxa"/>
              <w:bottom w:w="0" w:type="dxa"/>
              <w:right w:w="0" w:type="dxa"/>
            </w:tcMar>
            <w:vAlign w:val="center"/>
          </w:tcPr>
          <w:p>
            <w:pPr>
              <w:pStyle w:val="23"/>
              <w:autoSpaceDE/>
              <w:autoSpaceDN/>
              <w:rPr>
                <w:rFonts w:eastAsiaTheme="minorEastAsia"/>
                <w:bCs/>
              </w:rPr>
            </w:pPr>
            <w:r>
              <w:rPr>
                <w:rFonts w:eastAsiaTheme="minorEastAsia"/>
                <w:bCs/>
              </w:rPr>
              <w:t>办公室组成成员和联络员</w:t>
            </w:r>
          </w:p>
        </w:tc>
        <w:tc>
          <w:tcPr>
            <w:tcW w:w="5084" w:type="dxa"/>
            <w:tcBorders>
              <w:tl2br w:val="nil"/>
              <w:tr2bl w:val="nil"/>
            </w:tcBorders>
            <w:tcMar>
              <w:top w:w="0" w:type="dxa"/>
              <w:left w:w="0" w:type="dxa"/>
              <w:bottom w:w="0" w:type="dxa"/>
              <w:right w:w="0" w:type="dxa"/>
            </w:tcMar>
            <w:vAlign w:val="center"/>
          </w:tcPr>
          <w:p>
            <w:pPr>
              <w:pStyle w:val="23"/>
              <w:autoSpaceDE/>
              <w:autoSpaceDN/>
              <w:rPr>
                <w:rFonts w:eastAsiaTheme="minorEastAsia"/>
                <w:bCs/>
              </w:rPr>
            </w:pPr>
            <w:r>
              <w:rPr>
                <w:rFonts w:eastAsiaTheme="minorEastAsia"/>
                <w:bCs/>
              </w:rPr>
              <w:t>指挥部成员单位主要领导</w:t>
            </w:r>
          </w:p>
        </w:tc>
      </w:tr>
    </w:tbl>
    <w:p>
      <w:pPr>
        <w:pStyle w:val="24"/>
        <w:ind w:firstLine="0" w:firstLineChars="0"/>
        <w:rPr>
          <w:rFonts w:cs="Times New Roman"/>
          <w:b/>
          <w:bCs/>
          <w:lang w:val="en-US"/>
        </w:rPr>
        <w:sectPr>
          <w:pgSz w:w="11906" w:h="16838"/>
          <w:pgMar w:top="1440" w:right="1800" w:bottom="1440" w:left="1800" w:header="1134" w:footer="992" w:gutter="0"/>
          <w:pgNumType w:fmt="numberInDash"/>
          <w:cols w:space="425" w:num="1"/>
          <w:docGrid w:type="lines" w:linePitch="312" w:charSpace="0"/>
        </w:sectPr>
      </w:pPr>
    </w:p>
    <w:p>
      <w:pPr>
        <w:pStyle w:val="3"/>
        <w:jc w:val="both"/>
        <w:rPr>
          <w:sz w:val="32"/>
          <w:szCs w:val="32"/>
        </w:rPr>
      </w:pPr>
      <w:bookmarkStart w:id="237" w:name="_Toc24795"/>
      <w:bookmarkStart w:id="238" w:name="_Toc72337764"/>
      <w:bookmarkStart w:id="239" w:name="_Toc11147"/>
      <w:r>
        <w:rPr>
          <w:rFonts w:hint="eastAsia"/>
          <w:sz w:val="32"/>
          <w:szCs w:val="32"/>
        </w:rPr>
        <w:t xml:space="preserve">附件 </w:t>
      </w:r>
      <w:r>
        <w:rPr>
          <w:rFonts w:hint="eastAsia"/>
          <w:sz w:val="32"/>
          <w:szCs w:val="32"/>
          <w:lang w:val="en-US"/>
        </w:rPr>
        <w:t>3</w:t>
      </w:r>
      <w:r>
        <w:rPr>
          <w:rFonts w:hint="eastAsia"/>
          <w:sz w:val="32"/>
          <w:szCs w:val="32"/>
        </w:rPr>
        <w:t xml:space="preserve"> 集中式饮用水水源地突发环境事件应急主要成员单位及职责</w:t>
      </w:r>
      <w:bookmarkEnd w:id="237"/>
      <w:bookmarkEnd w:id="238"/>
      <w:bookmarkEnd w:id="239"/>
    </w:p>
    <w:tbl>
      <w:tblPr>
        <w:tblStyle w:val="20"/>
        <w:tblW w:w="13958" w:type="dxa"/>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669"/>
        <w:gridCol w:w="2184"/>
        <w:gridCol w:w="1746"/>
        <w:gridCol w:w="9359"/>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306" w:hRule="atLeast"/>
          <w:tblHeader/>
        </w:trPr>
        <w:tc>
          <w:tcPr>
            <w:tcW w:w="669" w:type="dxa"/>
            <w:tcBorders>
              <w:tl2br w:val="nil"/>
              <w:tr2bl w:val="nil"/>
            </w:tcBorders>
            <w:vAlign w:val="center"/>
          </w:tcPr>
          <w:p>
            <w:pPr>
              <w:pStyle w:val="23"/>
              <w:autoSpaceDE/>
              <w:autoSpaceDN/>
              <w:rPr>
                <w:rFonts w:eastAsiaTheme="minorEastAsia"/>
                <w:bCs/>
              </w:rPr>
            </w:pPr>
            <w:r>
              <w:rPr>
                <w:rFonts w:hint="eastAsia" w:eastAsiaTheme="minorEastAsia"/>
                <w:bCs/>
              </w:rPr>
              <w:t>序号</w:t>
            </w:r>
          </w:p>
        </w:tc>
        <w:tc>
          <w:tcPr>
            <w:tcW w:w="2184" w:type="dxa"/>
            <w:tcBorders>
              <w:tl2br w:val="nil"/>
              <w:tr2bl w:val="nil"/>
            </w:tcBorders>
            <w:vAlign w:val="center"/>
          </w:tcPr>
          <w:p>
            <w:pPr>
              <w:pStyle w:val="23"/>
              <w:autoSpaceDE/>
              <w:autoSpaceDN/>
              <w:rPr>
                <w:rFonts w:eastAsiaTheme="minorEastAsia"/>
                <w:bCs/>
              </w:rPr>
            </w:pPr>
            <w:r>
              <w:rPr>
                <w:rFonts w:hint="eastAsia" w:eastAsiaTheme="minorEastAsia"/>
                <w:bCs/>
              </w:rPr>
              <w:t>成员单位</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联系方式</w:t>
            </w:r>
          </w:p>
        </w:tc>
        <w:tc>
          <w:tcPr>
            <w:tcW w:w="9359" w:type="dxa"/>
            <w:tcBorders>
              <w:tl2br w:val="nil"/>
              <w:tr2bl w:val="nil"/>
            </w:tcBorders>
            <w:vAlign w:val="center"/>
          </w:tcPr>
          <w:p>
            <w:pPr>
              <w:pStyle w:val="23"/>
              <w:autoSpaceDE/>
              <w:autoSpaceDN/>
              <w:rPr>
                <w:rFonts w:eastAsiaTheme="minorEastAsia"/>
                <w:bCs/>
              </w:rPr>
            </w:pPr>
            <w:r>
              <w:rPr>
                <w:rFonts w:hint="eastAsia" w:eastAsiaTheme="minorEastAsia"/>
                <w:bCs/>
              </w:rPr>
              <w:t>职责</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77" w:hRule="atLeast"/>
        </w:trPr>
        <w:tc>
          <w:tcPr>
            <w:tcW w:w="669" w:type="dxa"/>
            <w:tcBorders>
              <w:tl2br w:val="nil"/>
              <w:tr2bl w:val="nil"/>
            </w:tcBorders>
            <w:vAlign w:val="center"/>
          </w:tcPr>
          <w:p>
            <w:pPr>
              <w:pStyle w:val="23"/>
              <w:autoSpaceDE/>
              <w:autoSpaceDN/>
              <w:rPr>
                <w:rFonts w:eastAsiaTheme="minorEastAsia"/>
                <w:bCs/>
              </w:rPr>
            </w:pPr>
            <w:r>
              <w:rPr>
                <w:rFonts w:eastAsiaTheme="minorEastAsia"/>
                <w:bCs/>
              </w:rPr>
              <w:t>1</w:t>
            </w:r>
          </w:p>
        </w:tc>
        <w:tc>
          <w:tcPr>
            <w:tcW w:w="2184" w:type="dxa"/>
            <w:tcBorders>
              <w:tl2br w:val="nil"/>
              <w:tr2bl w:val="nil"/>
            </w:tcBorders>
            <w:vAlign w:val="center"/>
          </w:tcPr>
          <w:p>
            <w:pPr>
              <w:pStyle w:val="23"/>
              <w:autoSpaceDE/>
              <w:autoSpaceDN/>
              <w:rPr>
                <w:rFonts w:eastAsiaTheme="minorEastAsia"/>
                <w:bCs/>
              </w:rPr>
            </w:pPr>
            <w:r>
              <w:rPr>
                <w:rFonts w:hint="eastAsia" w:eastAsiaTheme="minorEastAsia"/>
                <w:bCs/>
              </w:rPr>
              <w:t>市</w:t>
            </w:r>
            <w:r>
              <w:rPr>
                <w:rFonts w:eastAsiaTheme="minorEastAsia"/>
                <w:bCs/>
              </w:rPr>
              <w:t>应急管理局</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0715-5353630</w:t>
            </w:r>
          </w:p>
        </w:tc>
        <w:tc>
          <w:tcPr>
            <w:tcW w:w="9359" w:type="dxa"/>
            <w:tcBorders>
              <w:tl2br w:val="nil"/>
              <w:tr2bl w:val="nil"/>
            </w:tcBorders>
            <w:vAlign w:val="center"/>
          </w:tcPr>
          <w:p>
            <w:pPr>
              <w:pStyle w:val="23"/>
              <w:autoSpaceDE/>
              <w:autoSpaceDN/>
              <w:jc w:val="both"/>
              <w:rPr>
                <w:rFonts w:eastAsiaTheme="minorEastAsia"/>
                <w:bCs/>
              </w:rPr>
            </w:pPr>
            <w:r>
              <w:rPr>
                <w:rFonts w:eastAsiaTheme="minorEastAsia"/>
                <w:bCs/>
              </w:rPr>
              <w:t>负责应对饮用水突发 环境事件中抢险、救援、处置工作。</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710" w:hRule="atLeast"/>
        </w:trPr>
        <w:tc>
          <w:tcPr>
            <w:tcW w:w="669" w:type="dxa"/>
            <w:tcBorders>
              <w:tl2br w:val="nil"/>
              <w:tr2bl w:val="nil"/>
            </w:tcBorders>
            <w:vAlign w:val="center"/>
          </w:tcPr>
          <w:p>
            <w:pPr>
              <w:pStyle w:val="23"/>
              <w:autoSpaceDE/>
              <w:autoSpaceDN/>
              <w:rPr>
                <w:rFonts w:eastAsiaTheme="minorEastAsia"/>
                <w:bCs/>
              </w:rPr>
            </w:pPr>
            <w:r>
              <w:rPr>
                <w:rFonts w:eastAsiaTheme="minorEastAsia"/>
                <w:bCs/>
              </w:rPr>
              <w:t>2</w:t>
            </w:r>
          </w:p>
        </w:tc>
        <w:tc>
          <w:tcPr>
            <w:tcW w:w="2184" w:type="dxa"/>
            <w:tcBorders>
              <w:tl2br w:val="nil"/>
              <w:tr2bl w:val="nil"/>
            </w:tcBorders>
            <w:vAlign w:val="center"/>
          </w:tcPr>
          <w:p>
            <w:pPr>
              <w:pStyle w:val="23"/>
              <w:autoSpaceDE/>
              <w:autoSpaceDN/>
              <w:rPr>
                <w:rFonts w:eastAsiaTheme="minorEastAsia"/>
                <w:bCs/>
              </w:rPr>
            </w:pPr>
            <w:r>
              <w:rPr>
                <w:rFonts w:hint="eastAsia" w:eastAsiaTheme="minorEastAsia"/>
                <w:bCs/>
              </w:rPr>
              <w:t>市</w:t>
            </w:r>
            <w:r>
              <w:rPr>
                <w:rFonts w:eastAsiaTheme="minorEastAsia"/>
                <w:bCs/>
              </w:rPr>
              <w:t>委宣传部</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0715-5355891</w:t>
            </w:r>
          </w:p>
        </w:tc>
        <w:tc>
          <w:tcPr>
            <w:tcW w:w="9359" w:type="dxa"/>
            <w:tcBorders>
              <w:tl2br w:val="nil"/>
              <w:tr2bl w:val="nil"/>
            </w:tcBorders>
            <w:vAlign w:val="center"/>
          </w:tcPr>
          <w:p>
            <w:pPr>
              <w:pStyle w:val="23"/>
              <w:autoSpaceDE/>
              <w:autoSpaceDN/>
              <w:jc w:val="both"/>
              <w:rPr>
                <w:rFonts w:eastAsiaTheme="minorEastAsia"/>
                <w:bCs/>
              </w:rPr>
            </w:pPr>
            <w:r>
              <w:rPr>
                <w:rFonts w:eastAsiaTheme="minorEastAsia"/>
                <w:bCs/>
              </w:rPr>
              <w:t>负责组织广播影视、新闻出版单位做好集中式饮用水水源地突发环境事件的相关信息发布和应急宣传工作，准确把握舆论导向，及时做好突发事件舆论引导工作，做好新闻信息发布工作。</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711" w:hRule="atLeast"/>
        </w:trPr>
        <w:tc>
          <w:tcPr>
            <w:tcW w:w="669" w:type="dxa"/>
            <w:tcBorders>
              <w:tl2br w:val="nil"/>
              <w:tr2bl w:val="nil"/>
            </w:tcBorders>
            <w:vAlign w:val="center"/>
          </w:tcPr>
          <w:p>
            <w:pPr>
              <w:pStyle w:val="23"/>
              <w:autoSpaceDE/>
              <w:autoSpaceDN/>
              <w:rPr>
                <w:rFonts w:eastAsiaTheme="minorEastAsia"/>
                <w:bCs/>
              </w:rPr>
            </w:pPr>
            <w:r>
              <w:rPr>
                <w:rFonts w:eastAsiaTheme="minorEastAsia"/>
                <w:bCs/>
              </w:rPr>
              <w:t>3</w:t>
            </w:r>
          </w:p>
        </w:tc>
        <w:tc>
          <w:tcPr>
            <w:tcW w:w="2184" w:type="dxa"/>
            <w:tcBorders>
              <w:tl2br w:val="nil"/>
              <w:tr2bl w:val="nil"/>
            </w:tcBorders>
            <w:vAlign w:val="center"/>
          </w:tcPr>
          <w:p>
            <w:pPr>
              <w:pStyle w:val="23"/>
              <w:autoSpaceDE/>
              <w:autoSpaceDN/>
              <w:rPr>
                <w:rFonts w:eastAsiaTheme="minorEastAsia"/>
                <w:bCs/>
              </w:rPr>
            </w:pPr>
            <w:r>
              <w:rPr>
                <w:rFonts w:hint="eastAsia" w:eastAsiaTheme="minorEastAsia"/>
                <w:bCs/>
              </w:rPr>
              <w:t>市</w:t>
            </w:r>
            <w:r>
              <w:rPr>
                <w:rFonts w:eastAsiaTheme="minorEastAsia"/>
                <w:bCs/>
              </w:rPr>
              <w:t>公安局</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0715-5263411</w:t>
            </w:r>
          </w:p>
        </w:tc>
        <w:tc>
          <w:tcPr>
            <w:tcW w:w="9359" w:type="dxa"/>
            <w:tcBorders>
              <w:tl2br w:val="nil"/>
              <w:tr2bl w:val="nil"/>
            </w:tcBorders>
            <w:vAlign w:val="center"/>
          </w:tcPr>
          <w:p>
            <w:pPr>
              <w:pStyle w:val="23"/>
              <w:autoSpaceDE/>
              <w:autoSpaceDN/>
              <w:jc w:val="both"/>
              <w:rPr>
                <w:rFonts w:eastAsiaTheme="minorEastAsia"/>
                <w:bCs/>
              </w:rPr>
            </w:pPr>
            <w:r>
              <w:rPr>
                <w:rFonts w:eastAsiaTheme="minorEastAsia"/>
                <w:bCs/>
              </w:rPr>
              <w:t>负责指导、协调、组织饮用水突发环境事件发生地公安机关对涉嫌环境违法犯罪的侦查，危险区域实施治安警戒，维护事发地区的社会治安，做好群众疏散工作，维护当地社会治安和道路交通秩序。</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943" w:hRule="atLeast"/>
        </w:trPr>
        <w:tc>
          <w:tcPr>
            <w:tcW w:w="669" w:type="dxa"/>
            <w:tcBorders>
              <w:tl2br w:val="nil"/>
              <w:tr2bl w:val="nil"/>
            </w:tcBorders>
            <w:vAlign w:val="center"/>
          </w:tcPr>
          <w:p>
            <w:pPr>
              <w:pStyle w:val="23"/>
              <w:autoSpaceDE/>
              <w:autoSpaceDN/>
              <w:rPr>
                <w:rFonts w:eastAsiaTheme="minorEastAsia"/>
                <w:bCs/>
              </w:rPr>
            </w:pPr>
            <w:r>
              <w:rPr>
                <w:rFonts w:eastAsiaTheme="minorEastAsia"/>
                <w:bCs/>
              </w:rPr>
              <w:t>4</w:t>
            </w:r>
          </w:p>
        </w:tc>
        <w:tc>
          <w:tcPr>
            <w:tcW w:w="2184" w:type="dxa"/>
            <w:tcBorders>
              <w:tl2br w:val="nil"/>
              <w:tr2bl w:val="nil"/>
            </w:tcBorders>
            <w:vAlign w:val="center"/>
          </w:tcPr>
          <w:p>
            <w:pPr>
              <w:pStyle w:val="23"/>
              <w:autoSpaceDE/>
              <w:autoSpaceDN/>
              <w:rPr>
                <w:rFonts w:eastAsiaTheme="minorEastAsia"/>
                <w:bCs/>
              </w:rPr>
            </w:pPr>
            <w:r>
              <w:rPr>
                <w:rFonts w:eastAsiaTheme="minorEastAsia"/>
                <w:bCs/>
              </w:rPr>
              <w:t>咸宁市生态环境局</w:t>
            </w:r>
            <w:r>
              <w:rPr>
                <w:rFonts w:hint="eastAsia" w:eastAsiaTheme="minorEastAsia"/>
                <w:bCs/>
              </w:rPr>
              <w:t>赤壁市</w:t>
            </w:r>
            <w:r>
              <w:rPr>
                <w:rFonts w:eastAsiaTheme="minorEastAsia"/>
                <w:bCs/>
              </w:rPr>
              <w:t>分局</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0715-5355351</w:t>
            </w:r>
          </w:p>
        </w:tc>
        <w:tc>
          <w:tcPr>
            <w:tcW w:w="9359" w:type="dxa"/>
            <w:tcBorders>
              <w:tl2br w:val="nil"/>
              <w:tr2bl w:val="nil"/>
            </w:tcBorders>
            <w:vAlign w:val="center"/>
          </w:tcPr>
          <w:p>
            <w:pPr>
              <w:pStyle w:val="23"/>
              <w:autoSpaceDE/>
              <w:autoSpaceDN/>
              <w:jc w:val="both"/>
              <w:rPr>
                <w:rFonts w:eastAsiaTheme="minorEastAsia"/>
                <w:bCs/>
              </w:rPr>
            </w:pPr>
            <w:r>
              <w:rPr>
                <w:rFonts w:eastAsiaTheme="minorEastAsia"/>
                <w:bCs/>
              </w:rPr>
              <w:t>加强饮用水水源地地环境质量、水质监测和污染源的监控，依法发布环境状况公报，实施饮用水水源地地污染防治监督管理；集中式饮用水水源地突发环境事件发生后，做好水质的应急监测工作；协助做好事故调查工作。</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944" w:hRule="atLeast"/>
        </w:trPr>
        <w:tc>
          <w:tcPr>
            <w:tcW w:w="669" w:type="dxa"/>
            <w:tcBorders>
              <w:tl2br w:val="nil"/>
              <w:tr2bl w:val="nil"/>
            </w:tcBorders>
            <w:vAlign w:val="center"/>
          </w:tcPr>
          <w:p>
            <w:pPr>
              <w:pStyle w:val="23"/>
              <w:autoSpaceDE/>
              <w:autoSpaceDN/>
              <w:rPr>
                <w:rFonts w:eastAsiaTheme="minorEastAsia"/>
                <w:bCs/>
              </w:rPr>
            </w:pPr>
            <w:r>
              <w:rPr>
                <w:rFonts w:eastAsiaTheme="minorEastAsia"/>
                <w:bCs/>
              </w:rPr>
              <w:t>5</w:t>
            </w:r>
          </w:p>
        </w:tc>
        <w:tc>
          <w:tcPr>
            <w:tcW w:w="2184" w:type="dxa"/>
            <w:tcBorders>
              <w:tl2br w:val="nil"/>
              <w:tr2bl w:val="nil"/>
            </w:tcBorders>
            <w:vAlign w:val="center"/>
          </w:tcPr>
          <w:p>
            <w:pPr>
              <w:pStyle w:val="23"/>
              <w:autoSpaceDE/>
              <w:autoSpaceDN/>
              <w:rPr>
                <w:rFonts w:eastAsiaTheme="minorEastAsia"/>
                <w:bCs/>
              </w:rPr>
            </w:pPr>
            <w:r>
              <w:rPr>
                <w:rFonts w:hint="eastAsia" w:eastAsiaTheme="minorEastAsia"/>
                <w:bCs/>
              </w:rPr>
              <w:t>市</w:t>
            </w:r>
            <w:r>
              <w:rPr>
                <w:rFonts w:eastAsiaTheme="minorEastAsia"/>
                <w:bCs/>
              </w:rPr>
              <w:t>水利和湖泊局</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0715-5351315</w:t>
            </w:r>
          </w:p>
        </w:tc>
        <w:tc>
          <w:tcPr>
            <w:tcW w:w="9359" w:type="dxa"/>
            <w:tcBorders>
              <w:tl2br w:val="nil"/>
              <w:tr2bl w:val="nil"/>
            </w:tcBorders>
            <w:vAlign w:val="center"/>
          </w:tcPr>
          <w:p>
            <w:pPr>
              <w:pStyle w:val="23"/>
              <w:autoSpaceDE/>
              <w:autoSpaceDN/>
              <w:jc w:val="both"/>
              <w:rPr>
                <w:rFonts w:eastAsiaTheme="minorEastAsia"/>
                <w:bCs/>
              </w:rPr>
            </w:pPr>
            <w:r>
              <w:rPr>
                <w:rFonts w:eastAsiaTheme="minorEastAsia"/>
                <w:bCs/>
              </w:rPr>
              <w:t>负责市区水资源的合理调度；在饮用水水源地突发污染事故时，根据污染程度和咸宁市生态环境局</w:t>
            </w:r>
            <w:r>
              <w:rPr>
                <w:rFonts w:hint="eastAsia" w:eastAsiaTheme="minorEastAsia"/>
                <w:bCs/>
              </w:rPr>
              <w:t>赤壁市</w:t>
            </w:r>
            <w:r>
              <w:rPr>
                <w:rFonts w:eastAsiaTheme="minorEastAsia"/>
                <w:bCs/>
              </w:rPr>
              <w:t>分局的意见，协调自来水公司视情况采取停水、减压供水、改路供水、启用备用水源等处置措施；参与相关善后处置等工作。</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944" w:hRule="atLeast"/>
        </w:trPr>
        <w:tc>
          <w:tcPr>
            <w:tcW w:w="669" w:type="dxa"/>
            <w:tcBorders>
              <w:tl2br w:val="nil"/>
              <w:tr2bl w:val="nil"/>
            </w:tcBorders>
            <w:vAlign w:val="center"/>
          </w:tcPr>
          <w:p>
            <w:pPr>
              <w:pStyle w:val="23"/>
              <w:autoSpaceDE/>
              <w:autoSpaceDN/>
              <w:rPr>
                <w:rFonts w:eastAsiaTheme="minorEastAsia"/>
                <w:bCs/>
              </w:rPr>
            </w:pPr>
            <w:r>
              <w:rPr>
                <w:rFonts w:eastAsiaTheme="minorEastAsia"/>
                <w:bCs/>
              </w:rPr>
              <w:t>6</w:t>
            </w:r>
          </w:p>
        </w:tc>
        <w:tc>
          <w:tcPr>
            <w:tcW w:w="2184" w:type="dxa"/>
            <w:tcBorders>
              <w:tl2br w:val="nil"/>
              <w:tr2bl w:val="nil"/>
            </w:tcBorders>
            <w:vAlign w:val="center"/>
          </w:tcPr>
          <w:p>
            <w:pPr>
              <w:pStyle w:val="23"/>
              <w:autoSpaceDE/>
              <w:autoSpaceDN/>
              <w:rPr>
                <w:rFonts w:eastAsiaTheme="minorEastAsia"/>
                <w:bCs/>
              </w:rPr>
            </w:pPr>
            <w:r>
              <w:rPr>
                <w:rFonts w:hint="eastAsia" w:eastAsiaTheme="minorEastAsia"/>
                <w:bCs/>
                <w:lang w:val="en-US"/>
              </w:rPr>
              <w:t>市住建局</w:t>
            </w:r>
          </w:p>
        </w:tc>
        <w:tc>
          <w:tcPr>
            <w:tcW w:w="1746"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0715-5359180</w:t>
            </w:r>
          </w:p>
        </w:tc>
        <w:tc>
          <w:tcPr>
            <w:tcW w:w="9359" w:type="dxa"/>
            <w:tcBorders>
              <w:tl2br w:val="nil"/>
              <w:tr2bl w:val="nil"/>
            </w:tcBorders>
            <w:vAlign w:val="center"/>
          </w:tcPr>
          <w:p>
            <w:pPr>
              <w:pStyle w:val="23"/>
              <w:autoSpaceDE/>
              <w:autoSpaceDN/>
              <w:jc w:val="both"/>
              <w:rPr>
                <w:rFonts w:eastAsiaTheme="minorEastAsia"/>
                <w:bCs/>
              </w:rPr>
            </w:pPr>
            <w:r>
              <w:rPr>
                <w:rFonts w:hint="eastAsia" w:eastAsiaTheme="minorEastAsia"/>
                <w:bCs/>
                <w:lang w:val="en-US"/>
              </w:rPr>
              <w:t>负责协调和指导管辖的供水企业做好饮用水水源地突发环境事件预警和应急处置相关工作，确保有序供水。</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945" w:hRule="atLeast"/>
        </w:trPr>
        <w:tc>
          <w:tcPr>
            <w:tcW w:w="669" w:type="dxa"/>
            <w:tcBorders>
              <w:tl2br w:val="nil"/>
              <w:tr2bl w:val="nil"/>
            </w:tcBorders>
            <w:vAlign w:val="center"/>
          </w:tcPr>
          <w:p>
            <w:pPr>
              <w:pStyle w:val="23"/>
              <w:autoSpaceDE/>
              <w:autoSpaceDN/>
              <w:rPr>
                <w:rFonts w:eastAsiaTheme="minorEastAsia"/>
                <w:bCs/>
              </w:rPr>
            </w:pPr>
            <w:r>
              <w:rPr>
                <w:rFonts w:eastAsiaTheme="minorEastAsia"/>
                <w:bCs/>
              </w:rPr>
              <w:t>7</w:t>
            </w:r>
          </w:p>
        </w:tc>
        <w:tc>
          <w:tcPr>
            <w:tcW w:w="2184" w:type="dxa"/>
            <w:tcBorders>
              <w:tl2br w:val="nil"/>
              <w:tr2bl w:val="nil"/>
            </w:tcBorders>
            <w:vAlign w:val="center"/>
          </w:tcPr>
          <w:p>
            <w:pPr>
              <w:pStyle w:val="23"/>
              <w:autoSpaceDE/>
              <w:autoSpaceDN/>
              <w:rPr>
                <w:rFonts w:eastAsiaTheme="minorEastAsia"/>
                <w:bCs/>
              </w:rPr>
            </w:pPr>
            <w:r>
              <w:rPr>
                <w:rFonts w:hint="eastAsia" w:eastAsiaTheme="minorEastAsia"/>
                <w:bCs/>
              </w:rPr>
              <w:t>市</w:t>
            </w:r>
            <w:r>
              <w:rPr>
                <w:rFonts w:eastAsiaTheme="minorEastAsia"/>
                <w:bCs/>
              </w:rPr>
              <w:t>农业农村局</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0715-5352202</w:t>
            </w:r>
          </w:p>
        </w:tc>
        <w:tc>
          <w:tcPr>
            <w:tcW w:w="9359" w:type="dxa"/>
            <w:tcBorders>
              <w:tl2br w:val="nil"/>
              <w:tr2bl w:val="nil"/>
            </w:tcBorders>
            <w:vAlign w:val="center"/>
          </w:tcPr>
          <w:p>
            <w:pPr>
              <w:pStyle w:val="23"/>
              <w:autoSpaceDE/>
              <w:autoSpaceDN/>
              <w:jc w:val="both"/>
              <w:rPr>
                <w:rFonts w:eastAsiaTheme="minorEastAsia"/>
                <w:bCs/>
              </w:rPr>
            </w:pPr>
            <w:r>
              <w:rPr>
                <w:rFonts w:eastAsiaTheme="minorEastAsia"/>
                <w:bCs/>
              </w:rPr>
              <w:t>负责开展流域内农业非点源污染调查，开展农业非点源污染预防知识和法律宣传，推广无污染农业技术。及时对受污染农作物、农产品污染损害程度、范围及经济损失做出鉴定并制定出补救措施；对受污染区域农药、化肥的使用等情况加强监控，减少排放量。负责对水源保护区因发生水质污染导致鱼类中毒事件进行现场监督、勘验和分析，对鱼类生态环境的破坏及恢复提出处理意见，并制定相应的处理措施。负责</w:t>
            </w:r>
            <w:r>
              <w:rPr>
                <w:rFonts w:hint="eastAsia" w:eastAsiaTheme="minorEastAsia"/>
                <w:bCs/>
              </w:rPr>
              <w:t>对</w:t>
            </w:r>
            <w:r>
              <w:rPr>
                <w:rFonts w:eastAsiaTheme="minorEastAsia"/>
                <w:bCs/>
              </w:rPr>
              <w:t>水源保护区因畜禽养殖废弃物导致水质污染事件进行现场监督、勘验和分析，加强流域内畜禽养殖场废弃物综合利用的指导和服务。</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944" w:hRule="atLeast"/>
        </w:trPr>
        <w:tc>
          <w:tcPr>
            <w:tcW w:w="669" w:type="dxa"/>
            <w:tcBorders>
              <w:tl2br w:val="nil"/>
              <w:tr2bl w:val="nil"/>
            </w:tcBorders>
            <w:vAlign w:val="center"/>
          </w:tcPr>
          <w:p>
            <w:pPr>
              <w:pStyle w:val="23"/>
              <w:autoSpaceDE/>
              <w:autoSpaceDN/>
              <w:rPr>
                <w:rFonts w:eastAsiaTheme="minorEastAsia"/>
                <w:bCs/>
              </w:rPr>
            </w:pPr>
            <w:r>
              <w:rPr>
                <w:rFonts w:eastAsiaTheme="minorEastAsia"/>
                <w:bCs/>
              </w:rPr>
              <w:t>8</w:t>
            </w:r>
          </w:p>
        </w:tc>
        <w:tc>
          <w:tcPr>
            <w:tcW w:w="2184" w:type="dxa"/>
            <w:tcBorders>
              <w:tl2br w:val="nil"/>
              <w:tr2bl w:val="nil"/>
            </w:tcBorders>
            <w:vAlign w:val="center"/>
          </w:tcPr>
          <w:p>
            <w:pPr>
              <w:pStyle w:val="23"/>
              <w:autoSpaceDE/>
              <w:autoSpaceDN/>
              <w:rPr>
                <w:rFonts w:eastAsiaTheme="minorEastAsia"/>
                <w:bCs/>
              </w:rPr>
            </w:pPr>
            <w:r>
              <w:rPr>
                <w:rFonts w:hint="eastAsia" w:eastAsiaTheme="minorEastAsia"/>
                <w:bCs/>
              </w:rPr>
              <w:t>市</w:t>
            </w:r>
            <w:r>
              <w:rPr>
                <w:rFonts w:eastAsiaTheme="minorEastAsia"/>
                <w:bCs/>
              </w:rPr>
              <w:t>卫生健康局</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0715-5354188</w:t>
            </w:r>
          </w:p>
        </w:tc>
        <w:tc>
          <w:tcPr>
            <w:tcW w:w="9359" w:type="dxa"/>
            <w:tcBorders>
              <w:tl2br w:val="nil"/>
              <w:tr2bl w:val="nil"/>
            </w:tcBorders>
            <w:vAlign w:val="center"/>
          </w:tcPr>
          <w:p>
            <w:pPr>
              <w:pStyle w:val="23"/>
              <w:autoSpaceDE/>
              <w:autoSpaceDN/>
              <w:jc w:val="both"/>
              <w:rPr>
                <w:rFonts w:eastAsiaTheme="minorEastAsia"/>
                <w:bCs/>
              </w:rPr>
            </w:pPr>
            <w:r>
              <w:rPr>
                <w:rFonts w:eastAsiaTheme="minorEastAsia"/>
                <w:bCs/>
              </w:rPr>
              <w:t>负责对饮用水水质进行监测分析，组织协调饮用水突发环境事件应急医疗卫生救援工作，组织医疗机构实施医疗救护和卫生监测、防疫工作，并及时为地方医疗机构提供技术支持。提供涉及饮用水污染所致疾病防治等相关信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710" w:hRule="atLeast"/>
        </w:trPr>
        <w:tc>
          <w:tcPr>
            <w:tcW w:w="669" w:type="dxa"/>
            <w:tcBorders>
              <w:tl2br w:val="nil"/>
              <w:tr2bl w:val="nil"/>
            </w:tcBorders>
            <w:vAlign w:val="center"/>
          </w:tcPr>
          <w:p>
            <w:pPr>
              <w:pStyle w:val="23"/>
              <w:autoSpaceDE/>
              <w:autoSpaceDN/>
              <w:rPr>
                <w:rFonts w:eastAsiaTheme="minorEastAsia"/>
                <w:bCs/>
              </w:rPr>
            </w:pPr>
            <w:r>
              <w:rPr>
                <w:rFonts w:eastAsiaTheme="minorEastAsia"/>
                <w:bCs/>
              </w:rPr>
              <w:t>9</w:t>
            </w:r>
          </w:p>
        </w:tc>
        <w:tc>
          <w:tcPr>
            <w:tcW w:w="2184" w:type="dxa"/>
            <w:tcBorders>
              <w:tl2br w:val="nil"/>
              <w:tr2bl w:val="nil"/>
            </w:tcBorders>
            <w:vAlign w:val="center"/>
          </w:tcPr>
          <w:p>
            <w:pPr>
              <w:pStyle w:val="23"/>
              <w:autoSpaceDE/>
              <w:autoSpaceDN/>
              <w:rPr>
                <w:rFonts w:eastAsiaTheme="minorEastAsia"/>
                <w:bCs/>
              </w:rPr>
            </w:pPr>
            <w:r>
              <w:rPr>
                <w:rFonts w:hint="eastAsia" w:eastAsiaTheme="minorEastAsia"/>
                <w:bCs/>
              </w:rPr>
              <w:t>市</w:t>
            </w:r>
            <w:r>
              <w:rPr>
                <w:rFonts w:eastAsiaTheme="minorEastAsia"/>
                <w:bCs/>
              </w:rPr>
              <w:t>监察委员会</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0715-5355010</w:t>
            </w:r>
          </w:p>
        </w:tc>
        <w:tc>
          <w:tcPr>
            <w:tcW w:w="9359" w:type="dxa"/>
            <w:tcBorders>
              <w:tl2br w:val="nil"/>
              <w:tr2bl w:val="nil"/>
            </w:tcBorders>
            <w:vAlign w:val="center"/>
          </w:tcPr>
          <w:p>
            <w:pPr>
              <w:pStyle w:val="23"/>
              <w:autoSpaceDE/>
              <w:autoSpaceDN/>
              <w:jc w:val="both"/>
              <w:rPr>
                <w:rFonts w:eastAsiaTheme="minorEastAsia"/>
                <w:bCs/>
              </w:rPr>
            </w:pPr>
            <w:r>
              <w:rPr>
                <w:rFonts w:eastAsiaTheme="minorEastAsia"/>
                <w:bCs/>
              </w:rPr>
              <w:t>参与集中式饮用水水源地突发环境事件的调查工作；对相关部门、单位及其工作人员未按法律、法规规定履行职责的行为，依据党政纪有关规定进行调查处理。</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710" w:hRule="atLeast"/>
        </w:trPr>
        <w:tc>
          <w:tcPr>
            <w:tcW w:w="669" w:type="dxa"/>
            <w:tcBorders>
              <w:tl2br w:val="nil"/>
              <w:tr2bl w:val="nil"/>
            </w:tcBorders>
            <w:vAlign w:val="center"/>
          </w:tcPr>
          <w:p>
            <w:pPr>
              <w:pStyle w:val="23"/>
              <w:autoSpaceDE/>
              <w:autoSpaceDN/>
              <w:rPr>
                <w:rFonts w:eastAsiaTheme="minorEastAsia"/>
                <w:bCs/>
              </w:rPr>
            </w:pPr>
            <w:r>
              <w:rPr>
                <w:rFonts w:eastAsiaTheme="minorEastAsia"/>
                <w:bCs/>
              </w:rPr>
              <w:t>10</w:t>
            </w:r>
          </w:p>
        </w:tc>
        <w:tc>
          <w:tcPr>
            <w:tcW w:w="2184" w:type="dxa"/>
            <w:tcBorders>
              <w:tl2br w:val="nil"/>
              <w:tr2bl w:val="nil"/>
            </w:tcBorders>
            <w:vAlign w:val="center"/>
          </w:tcPr>
          <w:p>
            <w:pPr>
              <w:pStyle w:val="23"/>
              <w:autoSpaceDE/>
              <w:autoSpaceDN/>
              <w:rPr>
                <w:rFonts w:eastAsiaTheme="minorEastAsia"/>
                <w:bCs/>
              </w:rPr>
            </w:pPr>
            <w:r>
              <w:rPr>
                <w:rFonts w:hint="eastAsia" w:eastAsiaTheme="minorEastAsia"/>
                <w:bCs/>
              </w:rPr>
              <w:t>市</w:t>
            </w:r>
            <w:r>
              <w:rPr>
                <w:rFonts w:eastAsiaTheme="minorEastAsia"/>
                <w:bCs/>
              </w:rPr>
              <w:t>财政局</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0715-5330997(8)</w:t>
            </w:r>
          </w:p>
        </w:tc>
        <w:tc>
          <w:tcPr>
            <w:tcW w:w="9359" w:type="dxa"/>
            <w:tcBorders>
              <w:tl2br w:val="nil"/>
              <w:tr2bl w:val="nil"/>
            </w:tcBorders>
            <w:vAlign w:val="center"/>
          </w:tcPr>
          <w:p>
            <w:pPr>
              <w:pStyle w:val="23"/>
              <w:autoSpaceDE/>
              <w:autoSpaceDN/>
              <w:jc w:val="both"/>
              <w:rPr>
                <w:rFonts w:eastAsiaTheme="minorEastAsia"/>
                <w:bCs/>
              </w:rPr>
            </w:pPr>
            <w:r>
              <w:rPr>
                <w:rFonts w:eastAsiaTheme="minorEastAsia"/>
                <w:bCs/>
              </w:rPr>
              <w:t>根据有关规定安排应急工作所需的通讯和信息化设备、监测仪器、防护用具、应急交通工具等经费，确保饮用水突发环境事件预防、监测、处置等工作的正常进行。</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944" w:hRule="atLeast"/>
        </w:trPr>
        <w:tc>
          <w:tcPr>
            <w:tcW w:w="669" w:type="dxa"/>
            <w:tcBorders>
              <w:tl2br w:val="nil"/>
              <w:tr2bl w:val="nil"/>
            </w:tcBorders>
            <w:vAlign w:val="center"/>
          </w:tcPr>
          <w:p>
            <w:pPr>
              <w:pStyle w:val="23"/>
              <w:autoSpaceDE/>
              <w:autoSpaceDN/>
              <w:rPr>
                <w:rFonts w:eastAsiaTheme="minorEastAsia"/>
                <w:bCs/>
              </w:rPr>
            </w:pPr>
            <w:r>
              <w:rPr>
                <w:rFonts w:eastAsiaTheme="minorEastAsia"/>
                <w:bCs/>
              </w:rPr>
              <w:t>11</w:t>
            </w:r>
          </w:p>
        </w:tc>
        <w:tc>
          <w:tcPr>
            <w:tcW w:w="2184" w:type="dxa"/>
            <w:tcBorders>
              <w:tl2br w:val="nil"/>
              <w:tr2bl w:val="nil"/>
            </w:tcBorders>
            <w:vAlign w:val="center"/>
          </w:tcPr>
          <w:p>
            <w:pPr>
              <w:pStyle w:val="23"/>
              <w:autoSpaceDE/>
              <w:autoSpaceDN/>
              <w:rPr>
                <w:rFonts w:eastAsiaTheme="minorEastAsia"/>
                <w:bCs/>
              </w:rPr>
            </w:pPr>
            <w:r>
              <w:rPr>
                <w:rFonts w:hint="eastAsia" w:eastAsiaTheme="minorEastAsia"/>
                <w:bCs/>
              </w:rPr>
              <w:t>市</w:t>
            </w:r>
            <w:r>
              <w:rPr>
                <w:rFonts w:eastAsiaTheme="minorEastAsia"/>
                <w:bCs/>
              </w:rPr>
              <w:t>交通运输局</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0715-5362001</w:t>
            </w:r>
          </w:p>
        </w:tc>
        <w:tc>
          <w:tcPr>
            <w:tcW w:w="9359" w:type="dxa"/>
            <w:tcBorders>
              <w:tl2br w:val="nil"/>
              <w:tr2bl w:val="nil"/>
            </w:tcBorders>
            <w:vAlign w:val="center"/>
          </w:tcPr>
          <w:p>
            <w:pPr>
              <w:pStyle w:val="23"/>
              <w:autoSpaceDE/>
              <w:autoSpaceDN/>
              <w:jc w:val="both"/>
              <w:rPr>
                <w:rFonts w:eastAsiaTheme="minorEastAsia"/>
                <w:bCs/>
              </w:rPr>
            </w:pPr>
            <w:r>
              <w:rPr>
                <w:rFonts w:eastAsiaTheme="minorEastAsia"/>
                <w:bCs/>
              </w:rPr>
              <w:t>指导公路部门在水源保护区范围内的危险路段负责设置公路防撞栏；维持水源保护区内养护公路正常通行。组织对化学品运输车辆泄漏或交通事故的现场处置和调查处理工作；协助污染事故监测单位建立有毒有害物资的生产、储备和运输信息数据库。</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710" w:hRule="atLeast"/>
        </w:trPr>
        <w:tc>
          <w:tcPr>
            <w:tcW w:w="669" w:type="dxa"/>
            <w:tcBorders>
              <w:tl2br w:val="nil"/>
              <w:tr2bl w:val="nil"/>
            </w:tcBorders>
            <w:vAlign w:val="center"/>
          </w:tcPr>
          <w:p>
            <w:pPr>
              <w:pStyle w:val="23"/>
              <w:autoSpaceDE/>
              <w:autoSpaceDN/>
              <w:rPr>
                <w:rFonts w:eastAsiaTheme="minorEastAsia"/>
                <w:bCs/>
              </w:rPr>
            </w:pPr>
            <w:r>
              <w:rPr>
                <w:rFonts w:eastAsiaTheme="minorEastAsia"/>
                <w:bCs/>
              </w:rPr>
              <w:t>12</w:t>
            </w:r>
          </w:p>
        </w:tc>
        <w:tc>
          <w:tcPr>
            <w:tcW w:w="2184" w:type="dxa"/>
            <w:tcBorders>
              <w:tl2br w:val="nil"/>
              <w:tr2bl w:val="nil"/>
            </w:tcBorders>
            <w:vAlign w:val="center"/>
          </w:tcPr>
          <w:p>
            <w:pPr>
              <w:pStyle w:val="23"/>
              <w:autoSpaceDE/>
              <w:autoSpaceDN/>
              <w:rPr>
                <w:rFonts w:eastAsiaTheme="minorEastAsia"/>
                <w:bCs/>
              </w:rPr>
            </w:pPr>
            <w:r>
              <w:rPr>
                <w:rFonts w:hint="eastAsia" w:eastAsiaTheme="minorEastAsia"/>
                <w:bCs/>
              </w:rPr>
              <w:t>市</w:t>
            </w:r>
            <w:r>
              <w:rPr>
                <w:rFonts w:eastAsiaTheme="minorEastAsia"/>
                <w:bCs/>
              </w:rPr>
              <w:t>气象局</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0715-5355896</w:t>
            </w:r>
          </w:p>
        </w:tc>
        <w:tc>
          <w:tcPr>
            <w:tcW w:w="9359" w:type="dxa"/>
            <w:tcBorders>
              <w:tl2br w:val="nil"/>
              <w:tr2bl w:val="nil"/>
            </w:tcBorders>
            <w:vAlign w:val="center"/>
          </w:tcPr>
          <w:p>
            <w:pPr>
              <w:pStyle w:val="23"/>
              <w:autoSpaceDE/>
              <w:autoSpaceDN/>
              <w:jc w:val="both"/>
              <w:rPr>
                <w:rFonts w:eastAsiaTheme="minorEastAsia"/>
                <w:bCs/>
              </w:rPr>
            </w:pPr>
            <w:r>
              <w:rPr>
                <w:rFonts w:eastAsiaTheme="minorEastAsia"/>
                <w:bCs/>
              </w:rPr>
              <w:t>负责卫星遥感分析和气象情况监测，分析气象条件对饮用水水源</w:t>
            </w:r>
            <w:r>
              <w:rPr>
                <w:rFonts w:hint="eastAsia" w:eastAsiaTheme="minorEastAsia"/>
                <w:bCs/>
              </w:rPr>
              <w:t>地</w:t>
            </w:r>
            <w:r>
              <w:rPr>
                <w:rFonts w:eastAsiaTheme="minorEastAsia"/>
                <w:bCs/>
              </w:rPr>
              <w:t>水质可能产生的影响，提出水源地水质污染的气象条件预警；根据天气条件组织实施人工影响天气作业，增加水量。</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77" w:hRule="atLeast"/>
        </w:trPr>
        <w:tc>
          <w:tcPr>
            <w:tcW w:w="669" w:type="dxa"/>
            <w:tcBorders>
              <w:tl2br w:val="nil"/>
              <w:tr2bl w:val="nil"/>
            </w:tcBorders>
            <w:vAlign w:val="center"/>
          </w:tcPr>
          <w:p>
            <w:pPr>
              <w:pStyle w:val="23"/>
              <w:autoSpaceDE/>
              <w:autoSpaceDN/>
              <w:rPr>
                <w:rFonts w:eastAsiaTheme="minorEastAsia"/>
                <w:bCs/>
              </w:rPr>
            </w:pPr>
            <w:r>
              <w:rPr>
                <w:rFonts w:eastAsiaTheme="minorEastAsia"/>
                <w:bCs/>
              </w:rPr>
              <w:t>13</w:t>
            </w:r>
          </w:p>
        </w:tc>
        <w:tc>
          <w:tcPr>
            <w:tcW w:w="2184" w:type="dxa"/>
            <w:tcBorders>
              <w:tl2br w:val="nil"/>
              <w:tr2bl w:val="nil"/>
            </w:tcBorders>
            <w:vAlign w:val="center"/>
          </w:tcPr>
          <w:p>
            <w:pPr>
              <w:pStyle w:val="23"/>
              <w:autoSpaceDE/>
              <w:autoSpaceDN/>
              <w:rPr>
                <w:rFonts w:eastAsiaTheme="minorEastAsia"/>
                <w:bCs/>
              </w:rPr>
            </w:pPr>
            <w:r>
              <w:rPr>
                <w:rFonts w:hint="eastAsia" w:eastAsiaTheme="minorEastAsia"/>
                <w:bCs/>
              </w:rPr>
              <w:t>市</w:t>
            </w:r>
            <w:r>
              <w:rPr>
                <w:rFonts w:eastAsiaTheme="minorEastAsia"/>
                <w:bCs/>
              </w:rPr>
              <w:t>民政局</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0715-5331509</w:t>
            </w:r>
          </w:p>
        </w:tc>
        <w:tc>
          <w:tcPr>
            <w:tcW w:w="9359" w:type="dxa"/>
            <w:tcBorders>
              <w:tl2br w:val="nil"/>
              <w:tr2bl w:val="nil"/>
            </w:tcBorders>
            <w:vAlign w:val="center"/>
          </w:tcPr>
          <w:p>
            <w:pPr>
              <w:pStyle w:val="23"/>
              <w:autoSpaceDE/>
              <w:autoSpaceDN/>
              <w:jc w:val="both"/>
              <w:rPr>
                <w:rFonts w:eastAsiaTheme="minorEastAsia"/>
                <w:bCs/>
              </w:rPr>
            </w:pPr>
            <w:r>
              <w:rPr>
                <w:rFonts w:eastAsiaTheme="minorEastAsia"/>
                <w:bCs/>
              </w:rPr>
              <w:t>负责根据污染事故的危害程度和影响范围，做好生活救援工作，及时发放救援物资，组织指导人员转移、安置和临时生活安排。</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77" w:hRule="atLeast"/>
        </w:trPr>
        <w:tc>
          <w:tcPr>
            <w:tcW w:w="669" w:type="dxa"/>
            <w:tcBorders>
              <w:tl2br w:val="nil"/>
              <w:tr2bl w:val="nil"/>
            </w:tcBorders>
            <w:vAlign w:val="center"/>
          </w:tcPr>
          <w:p>
            <w:pPr>
              <w:pStyle w:val="23"/>
              <w:autoSpaceDE/>
              <w:autoSpaceDN/>
              <w:rPr>
                <w:rFonts w:eastAsiaTheme="minorEastAsia"/>
                <w:bCs/>
              </w:rPr>
            </w:pPr>
            <w:r>
              <w:rPr>
                <w:rFonts w:eastAsiaTheme="minorEastAsia"/>
                <w:bCs/>
              </w:rPr>
              <w:t>14</w:t>
            </w:r>
          </w:p>
        </w:tc>
        <w:tc>
          <w:tcPr>
            <w:tcW w:w="2184" w:type="dxa"/>
            <w:tcBorders>
              <w:tl2br w:val="nil"/>
              <w:tr2bl w:val="nil"/>
            </w:tcBorders>
            <w:vAlign w:val="center"/>
          </w:tcPr>
          <w:p>
            <w:pPr>
              <w:pStyle w:val="23"/>
              <w:autoSpaceDE/>
              <w:autoSpaceDN/>
              <w:rPr>
                <w:rFonts w:eastAsiaTheme="minorEastAsia"/>
                <w:bCs/>
              </w:rPr>
            </w:pPr>
            <w:r>
              <w:rPr>
                <w:rFonts w:hint="eastAsia" w:eastAsiaTheme="minorEastAsia"/>
                <w:bCs/>
              </w:rPr>
              <w:t>市</w:t>
            </w:r>
            <w:r>
              <w:rPr>
                <w:rFonts w:eastAsiaTheme="minorEastAsia"/>
                <w:bCs/>
              </w:rPr>
              <w:t>商务局</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0715-5222972</w:t>
            </w:r>
          </w:p>
        </w:tc>
        <w:tc>
          <w:tcPr>
            <w:tcW w:w="9359" w:type="dxa"/>
            <w:tcBorders>
              <w:tl2br w:val="nil"/>
              <w:tr2bl w:val="nil"/>
            </w:tcBorders>
            <w:vAlign w:val="center"/>
          </w:tcPr>
          <w:p>
            <w:pPr>
              <w:pStyle w:val="23"/>
              <w:autoSpaceDE/>
              <w:autoSpaceDN/>
              <w:jc w:val="both"/>
              <w:rPr>
                <w:rFonts w:eastAsiaTheme="minorEastAsia"/>
                <w:bCs/>
              </w:rPr>
            </w:pPr>
            <w:r>
              <w:rPr>
                <w:rFonts w:eastAsiaTheme="minorEastAsia"/>
                <w:bCs/>
              </w:rPr>
              <w:t>负责协调集中式饮用水水源地突发污染事件处置基本生活物资的调拨和紧急供应</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87" w:hRule="atLeast"/>
        </w:trPr>
        <w:tc>
          <w:tcPr>
            <w:tcW w:w="669" w:type="dxa"/>
            <w:vMerge w:val="restart"/>
            <w:tcBorders>
              <w:tl2br w:val="nil"/>
              <w:tr2bl w:val="nil"/>
            </w:tcBorders>
            <w:vAlign w:val="center"/>
          </w:tcPr>
          <w:p>
            <w:pPr>
              <w:pStyle w:val="23"/>
              <w:autoSpaceDE/>
              <w:autoSpaceDN/>
              <w:rPr>
                <w:rFonts w:eastAsiaTheme="minorEastAsia"/>
                <w:bCs/>
              </w:rPr>
            </w:pPr>
            <w:r>
              <w:rPr>
                <w:rFonts w:eastAsiaTheme="minorEastAsia"/>
                <w:bCs/>
              </w:rPr>
              <w:t>1</w:t>
            </w:r>
            <w:r>
              <w:rPr>
                <w:rFonts w:hint="eastAsia" w:eastAsiaTheme="minorEastAsia"/>
                <w:bCs/>
                <w:lang w:val="en-US"/>
              </w:rPr>
              <w:t>5</w:t>
            </w:r>
          </w:p>
        </w:tc>
        <w:tc>
          <w:tcPr>
            <w:tcW w:w="2184" w:type="dxa"/>
            <w:tcBorders>
              <w:tl2br w:val="nil"/>
              <w:tr2bl w:val="nil"/>
            </w:tcBorders>
            <w:vAlign w:val="center"/>
          </w:tcPr>
          <w:p>
            <w:pPr>
              <w:pStyle w:val="23"/>
              <w:autoSpaceDE/>
              <w:autoSpaceDN/>
              <w:rPr>
                <w:rFonts w:eastAsiaTheme="minorEastAsia"/>
                <w:bCs/>
                <w:lang w:val="en-US"/>
              </w:rPr>
            </w:pPr>
            <w:r>
              <w:rPr>
                <w:rFonts w:eastAsiaTheme="minorEastAsia"/>
                <w:bCs/>
                <w:lang w:val="en-US"/>
              </w:rPr>
              <w:t>赵李桥镇</w:t>
            </w:r>
            <w:r>
              <w:rPr>
                <w:rFonts w:hint="eastAsia" w:eastAsiaTheme="minorEastAsia"/>
                <w:bCs/>
                <w:lang w:val="en-US"/>
              </w:rPr>
              <w:t>人民政府</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0715-5866426</w:t>
            </w:r>
          </w:p>
        </w:tc>
        <w:tc>
          <w:tcPr>
            <w:tcW w:w="9359" w:type="dxa"/>
            <w:vMerge w:val="restart"/>
            <w:tcBorders>
              <w:tl2br w:val="nil"/>
              <w:tr2bl w:val="nil"/>
            </w:tcBorders>
            <w:vAlign w:val="center"/>
          </w:tcPr>
          <w:p>
            <w:pPr>
              <w:pStyle w:val="23"/>
              <w:autoSpaceDE/>
              <w:autoSpaceDN/>
              <w:jc w:val="both"/>
              <w:rPr>
                <w:rFonts w:eastAsiaTheme="minorEastAsia"/>
                <w:bCs/>
              </w:rPr>
            </w:pPr>
            <w:r>
              <w:rPr>
                <w:rFonts w:eastAsiaTheme="minorEastAsia"/>
                <w:bCs/>
              </w:rPr>
              <w:t>按照</w:t>
            </w:r>
            <w:r>
              <w:rPr>
                <w:rFonts w:hint="eastAsia" w:eastAsiaTheme="minorEastAsia"/>
                <w:bCs/>
              </w:rPr>
              <w:t>市</w:t>
            </w:r>
            <w:r>
              <w:rPr>
                <w:rFonts w:eastAsiaTheme="minorEastAsia"/>
                <w:bCs/>
              </w:rPr>
              <w:t>应急指挥部统一领导，及时开展辖区内饮用水突发环境事件应急工作。</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87" w:hRule="atLeast"/>
        </w:trPr>
        <w:tc>
          <w:tcPr>
            <w:tcW w:w="669" w:type="dxa"/>
            <w:vMerge w:val="continue"/>
            <w:tcBorders>
              <w:tl2br w:val="nil"/>
              <w:tr2bl w:val="nil"/>
            </w:tcBorders>
            <w:vAlign w:val="center"/>
          </w:tcPr>
          <w:p>
            <w:pPr>
              <w:pStyle w:val="23"/>
              <w:autoSpaceDE/>
              <w:autoSpaceDN/>
              <w:rPr>
                <w:rFonts w:eastAsiaTheme="minorEastAsia"/>
                <w:bCs/>
              </w:rPr>
            </w:pPr>
          </w:p>
        </w:tc>
        <w:tc>
          <w:tcPr>
            <w:tcW w:w="2184" w:type="dxa"/>
            <w:tcBorders>
              <w:tl2br w:val="nil"/>
              <w:tr2bl w:val="nil"/>
            </w:tcBorders>
            <w:vAlign w:val="center"/>
          </w:tcPr>
          <w:p>
            <w:pPr>
              <w:pStyle w:val="23"/>
              <w:autoSpaceDE/>
              <w:autoSpaceDN/>
              <w:rPr>
                <w:rFonts w:eastAsiaTheme="minorEastAsia"/>
                <w:bCs/>
              </w:rPr>
            </w:pPr>
            <w:r>
              <w:rPr>
                <w:rFonts w:eastAsiaTheme="minorEastAsia"/>
                <w:bCs/>
                <w:lang w:val="en-US"/>
              </w:rPr>
              <w:t>茶庵岭镇</w:t>
            </w:r>
            <w:r>
              <w:rPr>
                <w:rFonts w:hint="eastAsia" w:eastAsiaTheme="minorEastAsia"/>
                <w:bCs/>
                <w:lang w:val="en-US"/>
              </w:rPr>
              <w:t>人民政府</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0715-5861168</w:t>
            </w:r>
          </w:p>
        </w:tc>
        <w:tc>
          <w:tcPr>
            <w:tcW w:w="9359" w:type="dxa"/>
            <w:vMerge w:val="continue"/>
            <w:tcBorders>
              <w:tl2br w:val="nil"/>
              <w:tr2bl w:val="nil"/>
            </w:tcBorders>
            <w:vAlign w:val="center"/>
          </w:tcPr>
          <w:p>
            <w:pPr>
              <w:pStyle w:val="23"/>
              <w:autoSpaceDE/>
              <w:autoSpaceDN/>
              <w:rPr>
                <w:rFonts w:eastAsiaTheme="minorEastAsia"/>
                <w:bCs/>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87" w:hRule="atLeast"/>
        </w:trPr>
        <w:tc>
          <w:tcPr>
            <w:tcW w:w="669" w:type="dxa"/>
            <w:vMerge w:val="continue"/>
            <w:tcBorders>
              <w:tl2br w:val="nil"/>
              <w:tr2bl w:val="nil"/>
            </w:tcBorders>
            <w:vAlign w:val="center"/>
          </w:tcPr>
          <w:p>
            <w:pPr>
              <w:pStyle w:val="23"/>
              <w:autoSpaceDE/>
              <w:autoSpaceDN/>
              <w:rPr>
                <w:rFonts w:eastAsiaTheme="minorEastAsia"/>
                <w:bCs/>
              </w:rPr>
            </w:pPr>
          </w:p>
        </w:tc>
        <w:tc>
          <w:tcPr>
            <w:tcW w:w="2184" w:type="dxa"/>
            <w:tcBorders>
              <w:tl2br w:val="nil"/>
              <w:tr2bl w:val="nil"/>
            </w:tcBorders>
            <w:vAlign w:val="center"/>
          </w:tcPr>
          <w:p>
            <w:pPr>
              <w:pStyle w:val="23"/>
              <w:autoSpaceDE/>
              <w:autoSpaceDN/>
              <w:rPr>
                <w:rFonts w:eastAsiaTheme="minorEastAsia"/>
                <w:bCs/>
              </w:rPr>
            </w:pPr>
            <w:r>
              <w:rPr>
                <w:rFonts w:eastAsiaTheme="minorEastAsia"/>
                <w:bCs/>
                <w:lang w:val="en-US"/>
              </w:rPr>
              <w:t>车埠镇</w:t>
            </w:r>
            <w:r>
              <w:rPr>
                <w:rFonts w:hint="eastAsia" w:eastAsiaTheme="minorEastAsia"/>
                <w:bCs/>
                <w:lang w:val="en-US"/>
              </w:rPr>
              <w:t>人民政府</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0715-5742213</w:t>
            </w:r>
          </w:p>
        </w:tc>
        <w:tc>
          <w:tcPr>
            <w:tcW w:w="9359" w:type="dxa"/>
            <w:vMerge w:val="continue"/>
            <w:tcBorders>
              <w:tl2br w:val="nil"/>
              <w:tr2bl w:val="nil"/>
            </w:tcBorders>
            <w:vAlign w:val="center"/>
          </w:tcPr>
          <w:p>
            <w:pPr>
              <w:pStyle w:val="23"/>
              <w:autoSpaceDE/>
              <w:autoSpaceDN/>
              <w:rPr>
                <w:rFonts w:eastAsiaTheme="minorEastAsia"/>
                <w:bCs/>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87" w:hRule="atLeast"/>
        </w:trPr>
        <w:tc>
          <w:tcPr>
            <w:tcW w:w="669" w:type="dxa"/>
            <w:vMerge w:val="continue"/>
            <w:tcBorders>
              <w:tl2br w:val="nil"/>
              <w:tr2bl w:val="nil"/>
            </w:tcBorders>
            <w:vAlign w:val="center"/>
          </w:tcPr>
          <w:p>
            <w:pPr>
              <w:pStyle w:val="23"/>
              <w:autoSpaceDE/>
              <w:autoSpaceDN/>
              <w:rPr>
                <w:rFonts w:eastAsiaTheme="minorEastAsia"/>
                <w:bCs/>
              </w:rPr>
            </w:pPr>
          </w:p>
        </w:tc>
        <w:tc>
          <w:tcPr>
            <w:tcW w:w="2184" w:type="dxa"/>
            <w:tcBorders>
              <w:tl2br w:val="nil"/>
              <w:tr2bl w:val="nil"/>
            </w:tcBorders>
            <w:vAlign w:val="center"/>
          </w:tcPr>
          <w:p>
            <w:pPr>
              <w:pStyle w:val="23"/>
              <w:autoSpaceDE/>
              <w:autoSpaceDN/>
              <w:rPr>
                <w:rFonts w:eastAsiaTheme="minorEastAsia"/>
                <w:bCs/>
              </w:rPr>
            </w:pPr>
            <w:r>
              <w:rPr>
                <w:rFonts w:eastAsiaTheme="minorEastAsia"/>
                <w:bCs/>
                <w:lang w:val="en-US"/>
              </w:rPr>
              <w:t>柳山湖镇</w:t>
            </w:r>
            <w:r>
              <w:rPr>
                <w:rFonts w:hint="eastAsia" w:eastAsiaTheme="minorEastAsia"/>
                <w:bCs/>
                <w:lang w:val="en-US"/>
              </w:rPr>
              <w:t>人民政府</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0715-5785001</w:t>
            </w:r>
          </w:p>
        </w:tc>
        <w:tc>
          <w:tcPr>
            <w:tcW w:w="9359" w:type="dxa"/>
            <w:vMerge w:val="continue"/>
            <w:tcBorders>
              <w:tl2br w:val="nil"/>
              <w:tr2bl w:val="nil"/>
            </w:tcBorders>
            <w:vAlign w:val="center"/>
          </w:tcPr>
          <w:p>
            <w:pPr>
              <w:pStyle w:val="23"/>
              <w:autoSpaceDE/>
              <w:autoSpaceDN/>
              <w:rPr>
                <w:rFonts w:eastAsiaTheme="minorEastAsia"/>
                <w:bCs/>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87" w:hRule="atLeast"/>
        </w:trPr>
        <w:tc>
          <w:tcPr>
            <w:tcW w:w="669" w:type="dxa"/>
            <w:vMerge w:val="continue"/>
            <w:tcBorders>
              <w:tl2br w:val="nil"/>
              <w:tr2bl w:val="nil"/>
            </w:tcBorders>
            <w:vAlign w:val="center"/>
          </w:tcPr>
          <w:p>
            <w:pPr>
              <w:pStyle w:val="23"/>
              <w:autoSpaceDE/>
              <w:autoSpaceDN/>
              <w:rPr>
                <w:rFonts w:eastAsiaTheme="minorEastAsia"/>
                <w:bCs/>
              </w:rPr>
            </w:pPr>
          </w:p>
        </w:tc>
        <w:tc>
          <w:tcPr>
            <w:tcW w:w="2184" w:type="dxa"/>
            <w:tcBorders>
              <w:tl2br w:val="nil"/>
              <w:tr2bl w:val="nil"/>
            </w:tcBorders>
            <w:vAlign w:val="center"/>
          </w:tcPr>
          <w:p>
            <w:pPr>
              <w:pStyle w:val="23"/>
              <w:autoSpaceDE/>
              <w:autoSpaceDN/>
              <w:rPr>
                <w:rFonts w:eastAsiaTheme="minorEastAsia"/>
                <w:bCs/>
              </w:rPr>
            </w:pPr>
            <w:r>
              <w:rPr>
                <w:rFonts w:eastAsiaTheme="minorEastAsia"/>
                <w:bCs/>
                <w:lang w:val="en-US"/>
              </w:rPr>
              <w:t>赤壁镇</w:t>
            </w:r>
            <w:r>
              <w:rPr>
                <w:rFonts w:hint="eastAsia" w:eastAsiaTheme="minorEastAsia"/>
                <w:bCs/>
                <w:lang w:val="en-US"/>
              </w:rPr>
              <w:t>人民政府</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0715-5786345</w:t>
            </w:r>
          </w:p>
        </w:tc>
        <w:tc>
          <w:tcPr>
            <w:tcW w:w="9359" w:type="dxa"/>
            <w:vMerge w:val="continue"/>
            <w:tcBorders>
              <w:tl2br w:val="nil"/>
              <w:tr2bl w:val="nil"/>
            </w:tcBorders>
            <w:vAlign w:val="center"/>
          </w:tcPr>
          <w:p>
            <w:pPr>
              <w:pStyle w:val="23"/>
              <w:autoSpaceDE/>
              <w:autoSpaceDN/>
              <w:rPr>
                <w:rFonts w:eastAsiaTheme="minorEastAsia"/>
                <w:bCs/>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87" w:hRule="atLeast"/>
        </w:trPr>
        <w:tc>
          <w:tcPr>
            <w:tcW w:w="669" w:type="dxa"/>
            <w:vMerge w:val="continue"/>
            <w:tcBorders>
              <w:tl2br w:val="nil"/>
              <w:tr2bl w:val="nil"/>
            </w:tcBorders>
            <w:vAlign w:val="center"/>
          </w:tcPr>
          <w:p>
            <w:pPr>
              <w:pStyle w:val="23"/>
              <w:autoSpaceDE/>
              <w:autoSpaceDN/>
              <w:rPr>
                <w:rFonts w:eastAsiaTheme="minorEastAsia"/>
                <w:bCs/>
              </w:rPr>
            </w:pPr>
          </w:p>
        </w:tc>
        <w:tc>
          <w:tcPr>
            <w:tcW w:w="2184" w:type="dxa"/>
            <w:tcBorders>
              <w:tl2br w:val="nil"/>
              <w:tr2bl w:val="nil"/>
            </w:tcBorders>
            <w:vAlign w:val="center"/>
          </w:tcPr>
          <w:p>
            <w:pPr>
              <w:pStyle w:val="23"/>
              <w:autoSpaceDE/>
              <w:autoSpaceDN/>
              <w:rPr>
                <w:rFonts w:eastAsiaTheme="minorEastAsia"/>
                <w:bCs/>
              </w:rPr>
            </w:pPr>
            <w:r>
              <w:rPr>
                <w:rFonts w:eastAsiaTheme="minorEastAsia"/>
                <w:bCs/>
                <w:lang w:val="en-US"/>
              </w:rPr>
              <w:t>黄盖湖镇</w:t>
            </w:r>
            <w:r>
              <w:rPr>
                <w:rFonts w:hint="eastAsia" w:eastAsiaTheme="minorEastAsia"/>
                <w:bCs/>
                <w:lang w:val="en-US"/>
              </w:rPr>
              <w:t>人民政府</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0715-5792101</w:t>
            </w:r>
          </w:p>
        </w:tc>
        <w:tc>
          <w:tcPr>
            <w:tcW w:w="9359" w:type="dxa"/>
            <w:vMerge w:val="continue"/>
            <w:tcBorders>
              <w:tl2br w:val="nil"/>
              <w:tr2bl w:val="nil"/>
            </w:tcBorders>
            <w:vAlign w:val="center"/>
          </w:tcPr>
          <w:p>
            <w:pPr>
              <w:pStyle w:val="23"/>
              <w:autoSpaceDE/>
              <w:autoSpaceDN/>
              <w:rPr>
                <w:rFonts w:eastAsiaTheme="minorEastAsia"/>
                <w:bCs/>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87" w:hRule="atLeast"/>
        </w:trPr>
        <w:tc>
          <w:tcPr>
            <w:tcW w:w="669" w:type="dxa"/>
            <w:vMerge w:val="continue"/>
            <w:tcBorders>
              <w:tl2br w:val="nil"/>
              <w:tr2bl w:val="nil"/>
            </w:tcBorders>
            <w:vAlign w:val="center"/>
          </w:tcPr>
          <w:p>
            <w:pPr>
              <w:pStyle w:val="23"/>
              <w:autoSpaceDE/>
              <w:autoSpaceDN/>
              <w:rPr>
                <w:rFonts w:eastAsiaTheme="minorEastAsia"/>
                <w:bCs/>
              </w:rPr>
            </w:pPr>
          </w:p>
        </w:tc>
        <w:tc>
          <w:tcPr>
            <w:tcW w:w="2184" w:type="dxa"/>
            <w:tcBorders>
              <w:tl2br w:val="nil"/>
              <w:tr2bl w:val="nil"/>
            </w:tcBorders>
            <w:vAlign w:val="center"/>
          </w:tcPr>
          <w:p>
            <w:pPr>
              <w:pStyle w:val="23"/>
              <w:autoSpaceDE/>
              <w:autoSpaceDN/>
              <w:rPr>
                <w:rFonts w:eastAsiaTheme="minorEastAsia"/>
                <w:bCs/>
              </w:rPr>
            </w:pPr>
            <w:r>
              <w:rPr>
                <w:rFonts w:eastAsiaTheme="minorEastAsia"/>
                <w:bCs/>
                <w:lang w:val="en-US"/>
              </w:rPr>
              <w:t>官塘驿镇</w:t>
            </w:r>
            <w:r>
              <w:rPr>
                <w:rFonts w:hint="eastAsia" w:eastAsiaTheme="minorEastAsia"/>
                <w:bCs/>
                <w:lang w:val="en-US"/>
              </w:rPr>
              <w:t>人民政府</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0715-5677501</w:t>
            </w:r>
          </w:p>
        </w:tc>
        <w:tc>
          <w:tcPr>
            <w:tcW w:w="9359" w:type="dxa"/>
            <w:vMerge w:val="continue"/>
            <w:tcBorders>
              <w:tl2br w:val="nil"/>
              <w:tr2bl w:val="nil"/>
            </w:tcBorders>
            <w:vAlign w:val="center"/>
          </w:tcPr>
          <w:p>
            <w:pPr>
              <w:pStyle w:val="23"/>
              <w:autoSpaceDE/>
              <w:autoSpaceDN/>
              <w:rPr>
                <w:rFonts w:eastAsiaTheme="minorEastAsia"/>
                <w:bCs/>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87" w:hRule="atLeast"/>
        </w:trPr>
        <w:tc>
          <w:tcPr>
            <w:tcW w:w="669" w:type="dxa"/>
            <w:vMerge w:val="continue"/>
            <w:tcBorders>
              <w:tl2br w:val="nil"/>
              <w:tr2bl w:val="nil"/>
            </w:tcBorders>
            <w:vAlign w:val="center"/>
          </w:tcPr>
          <w:p>
            <w:pPr>
              <w:pStyle w:val="23"/>
              <w:autoSpaceDE/>
              <w:autoSpaceDN/>
              <w:rPr>
                <w:rFonts w:eastAsiaTheme="minorEastAsia"/>
                <w:bCs/>
              </w:rPr>
            </w:pPr>
          </w:p>
        </w:tc>
        <w:tc>
          <w:tcPr>
            <w:tcW w:w="2184" w:type="dxa"/>
            <w:tcBorders>
              <w:tl2br w:val="nil"/>
              <w:tr2bl w:val="nil"/>
            </w:tcBorders>
            <w:vAlign w:val="center"/>
          </w:tcPr>
          <w:p>
            <w:pPr>
              <w:pStyle w:val="23"/>
              <w:autoSpaceDE/>
              <w:autoSpaceDN/>
              <w:rPr>
                <w:rFonts w:eastAsiaTheme="minorEastAsia"/>
                <w:bCs/>
              </w:rPr>
            </w:pPr>
            <w:r>
              <w:rPr>
                <w:rFonts w:eastAsiaTheme="minorEastAsia"/>
                <w:bCs/>
                <w:lang w:val="en-US"/>
              </w:rPr>
              <w:t>神山镇</w:t>
            </w:r>
            <w:r>
              <w:rPr>
                <w:rFonts w:hint="eastAsia" w:eastAsiaTheme="minorEastAsia"/>
                <w:bCs/>
                <w:lang w:val="en-US"/>
              </w:rPr>
              <w:t>人民政府</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0715-5652688</w:t>
            </w:r>
          </w:p>
        </w:tc>
        <w:tc>
          <w:tcPr>
            <w:tcW w:w="9359" w:type="dxa"/>
            <w:vMerge w:val="continue"/>
            <w:tcBorders>
              <w:tl2br w:val="nil"/>
              <w:tr2bl w:val="nil"/>
            </w:tcBorders>
            <w:vAlign w:val="center"/>
          </w:tcPr>
          <w:p>
            <w:pPr>
              <w:pStyle w:val="23"/>
              <w:autoSpaceDE/>
              <w:autoSpaceDN/>
              <w:rPr>
                <w:rFonts w:eastAsiaTheme="minorEastAsia"/>
                <w:bCs/>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87" w:hRule="atLeast"/>
        </w:trPr>
        <w:tc>
          <w:tcPr>
            <w:tcW w:w="669" w:type="dxa"/>
            <w:vMerge w:val="continue"/>
            <w:tcBorders>
              <w:tl2br w:val="nil"/>
              <w:tr2bl w:val="nil"/>
            </w:tcBorders>
            <w:vAlign w:val="center"/>
          </w:tcPr>
          <w:p>
            <w:pPr>
              <w:pStyle w:val="23"/>
              <w:autoSpaceDE/>
              <w:autoSpaceDN/>
              <w:rPr>
                <w:rFonts w:eastAsiaTheme="minorEastAsia"/>
                <w:bCs/>
              </w:rPr>
            </w:pPr>
          </w:p>
        </w:tc>
        <w:tc>
          <w:tcPr>
            <w:tcW w:w="2184" w:type="dxa"/>
            <w:tcBorders>
              <w:tl2br w:val="nil"/>
              <w:tr2bl w:val="nil"/>
            </w:tcBorders>
            <w:vAlign w:val="center"/>
          </w:tcPr>
          <w:p>
            <w:pPr>
              <w:pStyle w:val="23"/>
              <w:autoSpaceDE/>
              <w:autoSpaceDN/>
              <w:rPr>
                <w:rFonts w:eastAsiaTheme="minorEastAsia"/>
                <w:bCs/>
              </w:rPr>
            </w:pPr>
            <w:r>
              <w:rPr>
                <w:rFonts w:eastAsiaTheme="minorEastAsia"/>
                <w:bCs/>
                <w:lang w:val="en-US"/>
              </w:rPr>
              <w:t>新店镇</w:t>
            </w:r>
            <w:r>
              <w:rPr>
                <w:rFonts w:hint="eastAsia" w:eastAsiaTheme="minorEastAsia"/>
                <w:bCs/>
                <w:lang w:val="en-US"/>
              </w:rPr>
              <w:t>人民政府</w:t>
            </w:r>
          </w:p>
        </w:tc>
        <w:tc>
          <w:tcPr>
            <w:tcW w:w="1746" w:type="dxa"/>
            <w:tcBorders>
              <w:tl2br w:val="nil"/>
              <w:tr2bl w:val="nil"/>
            </w:tcBorders>
            <w:vAlign w:val="center"/>
          </w:tcPr>
          <w:p>
            <w:pPr>
              <w:pStyle w:val="23"/>
              <w:autoSpaceDE/>
              <w:autoSpaceDN/>
              <w:rPr>
                <w:rFonts w:eastAsiaTheme="minorEastAsia"/>
                <w:bCs/>
              </w:rPr>
            </w:pPr>
            <w:r>
              <w:rPr>
                <w:rFonts w:hint="eastAsia" w:eastAsiaTheme="minorEastAsia"/>
                <w:bCs/>
                <w:lang w:val="en-US"/>
              </w:rPr>
              <w:t>0715-5877048</w:t>
            </w:r>
          </w:p>
        </w:tc>
        <w:tc>
          <w:tcPr>
            <w:tcW w:w="9359" w:type="dxa"/>
            <w:vMerge w:val="continue"/>
            <w:tcBorders>
              <w:tl2br w:val="nil"/>
              <w:tr2bl w:val="nil"/>
            </w:tcBorders>
            <w:vAlign w:val="center"/>
          </w:tcPr>
          <w:p>
            <w:pPr>
              <w:pStyle w:val="23"/>
              <w:autoSpaceDE/>
              <w:autoSpaceDN/>
              <w:rPr>
                <w:rFonts w:eastAsiaTheme="minorEastAsia"/>
                <w:bCs/>
              </w:rPr>
            </w:pPr>
          </w:p>
        </w:tc>
      </w:tr>
    </w:tbl>
    <w:p>
      <w:pPr>
        <w:pStyle w:val="24"/>
        <w:ind w:firstLine="0" w:firstLineChars="0"/>
        <w:rPr>
          <w:rFonts w:cs="Times New Roman"/>
          <w:b/>
          <w:bCs/>
          <w:lang w:val="en-US"/>
        </w:rPr>
        <w:sectPr>
          <w:pgSz w:w="16838" w:h="11906" w:orient="landscape"/>
          <w:pgMar w:top="1800" w:right="1440" w:bottom="1800" w:left="1440" w:header="1134" w:footer="992" w:gutter="0"/>
          <w:pgNumType w:fmt="numberInDash"/>
          <w:cols w:space="425" w:num="1"/>
          <w:docGrid w:type="lines" w:linePitch="312" w:charSpace="0"/>
        </w:sectPr>
      </w:pPr>
    </w:p>
    <w:p>
      <w:pPr>
        <w:pStyle w:val="3"/>
        <w:jc w:val="both"/>
        <w:rPr>
          <w:sz w:val="32"/>
          <w:szCs w:val="32"/>
        </w:rPr>
      </w:pPr>
      <w:bookmarkStart w:id="240" w:name="_Toc72337765"/>
      <w:bookmarkStart w:id="241" w:name="_Toc27173"/>
      <w:bookmarkStart w:id="242" w:name="_Toc17670"/>
      <w:r>
        <w:rPr>
          <w:rFonts w:hint="eastAsia"/>
          <w:sz w:val="32"/>
          <w:szCs w:val="32"/>
        </w:rPr>
        <w:t xml:space="preserve">附件 </w:t>
      </w:r>
      <w:r>
        <w:rPr>
          <w:rFonts w:hint="eastAsia"/>
          <w:sz w:val="32"/>
          <w:szCs w:val="32"/>
          <w:lang w:val="en-US"/>
        </w:rPr>
        <w:t>4</w:t>
      </w:r>
      <w:r>
        <w:rPr>
          <w:rFonts w:hint="eastAsia"/>
          <w:sz w:val="32"/>
          <w:szCs w:val="32"/>
        </w:rPr>
        <w:t xml:space="preserve"> 应急工作组职责</w:t>
      </w:r>
      <w:bookmarkEnd w:id="240"/>
      <w:bookmarkEnd w:id="241"/>
      <w:bookmarkEnd w:id="242"/>
    </w:p>
    <w:tbl>
      <w:tblPr>
        <w:tblStyle w:val="21"/>
        <w:tblW w:w="14163" w:type="dxa"/>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1196"/>
        <w:gridCol w:w="2836"/>
        <w:gridCol w:w="3479"/>
        <w:gridCol w:w="6652"/>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c>
          <w:tcPr>
            <w:tcW w:w="7511" w:type="dxa"/>
            <w:gridSpan w:val="3"/>
            <w:tcBorders>
              <w:tl2br w:val="nil"/>
              <w:tr2bl w:val="nil"/>
            </w:tcBorders>
            <w:shd w:val="clear" w:color="auto" w:fill="auto"/>
            <w:vAlign w:val="center"/>
          </w:tcPr>
          <w:p>
            <w:pPr>
              <w:pStyle w:val="23"/>
              <w:autoSpaceDE/>
              <w:autoSpaceDN/>
              <w:rPr>
                <w:rFonts w:eastAsiaTheme="minorEastAsia"/>
                <w:bCs/>
              </w:rPr>
            </w:pPr>
            <w:r>
              <w:rPr>
                <w:rFonts w:hint="eastAsia" w:eastAsiaTheme="minorEastAsia"/>
                <w:bCs/>
              </w:rPr>
              <w:t>应急工作组成</w:t>
            </w:r>
          </w:p>
        </w:tc>
        <w:tc>
          <w:tcPr>
            <w:tcW w:w="6652" w:type="dxa"/>
            <w:tcBorders>
              <w:tl2br w:val="nil"/>
              <w:tr2bl w:val="nil"/>
            </w:tcBorders>
            <w:shd w:val="clear" w:color="auto" w:fill="auto"/>
            <w:vAlign w:val="center"/>
          </w:tcPr>
          <w:p>
            <w:pPr>
              <w:pStyle w:val="23"/>
              <w:autoSpaceDE/>
              <w:autoSpaceDN/>
              <w:rPr>
                <w:rFonts w:eastAsiaTheme="minorEastAsia"/>
                <w:bCs/>
              </w:rPr>
            </w:pPr>
            <w:r>
              <w:rPr>
                <w:rFonts w:hint="eastAsia" w:eastAsiaTheme="minorEastAsia"/>
                <w:bCs/>
              </w:rPr>
              <w:t>应急职责</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c>
          <w:tcPr>
            <w:tcW w:w="1196" w:type="dxa"/>
            <w:tcBorders>
              <w:tl2br w:val="nil"/>
              <w:tr2bl w:val="nil"/>
            </w:tcBorders>
            <w:shd w:val="clear" w:color="auto" w:fill="auto"/>
            <w:vAlign w:val="center"/>
          </w:tcPr>
          <w:p>
            <w:pPr>
              <w:pStyle w:val="23"/>
              <w:autoSpaceDE/>
              <w:autoSpaceDN/>
              <w:rPr>
                <w:rFonts w:eastAsiaTheme="minorEastAsia"/>
                <w:bCs/>
              </w:rPr>
            </w:pPr>
            <w:r>
              <w:rPr>
                <w:rFonts w:eastAsiaTheme="minorEastAsia"/>
                <w:bCs/>
              </w:rPr>
              <w:t>应急处置组</w:t>
            </w:r>
          </w:p>
        </w:tc>
        <w:tc>
          <w:tcPr>
            <w:tcW w:w="2836" w:type="dxa"/>
            <w:tcBorders>
              <w:tl2br w:val="nil"/>
              <w:tr2bl w:val="nil"/>
            </w:tcBorders>
            <w:shd w:val="clear" w:color="auto" w:fill="auto"/>
            <w:vAlign w:val="center"/>
          </w:tcPr>
          <w:p>
            <w:pPr>
              <w:pStyle w:val="23"/>
              <w:autoSpaceDE/>
              <w:autoSpaceDN/>
              <w:rPr>
                <w:rFonts w:eastAsiaTheme="minorEastAsia"/>
                <w:bCs/>
              </w:rPr>
            </w:pPr>
            <w:r>
              <w:rPr>
                <w:rFonts w:eastAsiaTheme="minorEastAsia"/>
                <w:bCs/>
              </w:rPr>
              <w:t>由咸宁市生态环境局</w:t>
            </w:r>
            <w:r>
              <w:rPr>
                <w:rFonts w:hint="eastAsia" w:eastAsiaTheme="minorEastAsia"/>
                <w:bCs/>
              </w:rPr>
              <w:t>赤壁市</w:t>
            </w:r>
            <w:r>
              <w:rPr>
                <w:rFonts w:eastAsiaTheme="minorEastAsia"/>
                <w:bCs/>
              </w:rPr>
              <w:t>分局、</w:t>
            </w:r>
            <w:r>
              <w:rPr>
                <w:rFonts w:hint="eastAsia" w:eastAsiaTheme="minorEastAsia"/>
                <w:bCs/>
              </w:rPr>
              <w:t>市</w:t>
            </w:r>
            <w:r>
              <w:rPr>
                <w:rFonts w:eastAsiaTheme="minorEastAsia"/>
                <w:bCs/>
              </w:rPr>
              <w:t>住建局</w:t>
            </w:r>
            <w:r>
              <w:rPr>
                <w:rFonts w:hint="eastAsia" w:eastAsiaTheme="minorEastAsia"/>
                <w:bCs/>
              </w:rPr>
              <w:t>、市</w:t>
            </w:r>
            <w:r>
              <w:rPr>
                <w:rFonts w:eastAsiaTheme="minorEastAsia"/>
                <w:bCs/>
              </w:rPr>
              <w:t>水利和湖泊局、</w:t>
            </w:r>
            <w:r>
              <w:rPr>
                <w:rFonts w:hint="eastAsia" w:eastAsiaTheme="minorEastAsia"/>
                <w:bCs/>
              </w:rPr>
              <w:t>市</w:t>
            </w:r>
            <w:r>
              <w:rPr>
                <w:rFonts w:eastAsiaTheme="minorEastAsia"/>
                <w:bCs/>
              </w:rPr>
              <w:t>农业农村局、</w:t>
            </w:r>
            <w:r>
              <w:rPr>
                <w:rFonts w:hint="eastAsia" w:eastAsiaTheme="minorEastAsia"/>
                <w:bCs/>
              </w:rPr>
              <w:t>市</w:t>
            </w:r>
            <w:r>
              <w:rPr>
                <w:rFonts w:eastAsiaTheme="minorEastAsia"/>
                <w:bCs/>
              </w:rPr>
              <w:t>卫生健康局等部门联合组成</w:t>
            </w:r>
          </w:p>
        </w:tc>
        <w:tc>
          <w:tcPr>
            <w:tcW w:w="3479" w:type="dxa"/>
            <w:tcBorders>
              <w:tl2br w:val="nil"/>
              <w:tr2bl w:val="nil"/>
            </w:tcBorders>
            <w:shd w:val="clear" w:color="auto" w:fill="auto"/>
            <w:vAlign w:val="center"/>
          </w:tcPr>
          <w:p>
            <w:pPr>
              <w:pStyle w:val="23"/>
              <w:autoSpaceDE/>
              <w:autoSpaceDN/>
              <w:jc w:val="both"/>
              <w:rPr>
                <w:rFonts w:eastAsiaTheme="minorEastAsia"/>
                <w:bCs/>
              </w:rPr>
            </w:pPr>
            <w:r>
              <w:rPr>
                <w:rFonts w:eastAsiaTheme="minorEastAsia"/>
                <w:bCs/>
              </w:rPr>
              <w:t>咸宁市生态环境局</w:t>
            </w:r>
            <w:r>
              <w:rPr>
                <w:rFonts w:hint="eastAsia" w:eastAsiaTheme="minorEastAsia"/>
                <w:bCs/>
              </w:rPr>
              <w:t>赤壁市</w:t>
            </w:r>
            <w:r>
              <w:rPr>
                <w:rFonts w:eastAsiaTheme="minorEastAsia"/>
                <w:bCs/>
              </w:rPr>
              <w:t>分局</w:t>
            </w:r>
            <w:r>
              <w:rPr>
                <w:rFonts w:hint="eastAsia" w:eastAsiaTheme="minorEastAsia"/>
                <w:bCs/>
              </w:rPr>
              <w:t>：</w:t>
            </w:r>
          </w:p>
          <w:p>
            <w:pPr>
              <w:pStyle w:val="23"/>
              <w:autoSpaceDE/>
              <w:autoSpaceDN/>
              <w:jc w:val="both"/>
              <w:rPr>
                <w:rFonts w:eastAsiaTheme="minorEastAsia"/>
                <w:bCs/>
                <w:lang w:val="en-US"/>
              </w:rPr>
            </w:pPr>
            <w:r>
              <w:rPr>
                <w:rFonts w:hint="eastAsia" w:eastAsiaTheme="minorEastAsia"/>
                <w:bCs/>
              </w:rPr>
              <w:t>伍火平</w:t>
            </w:r>
            <w:r>
              <w:rPr>
                <w:rFonts w:hint="eastAsia" w:eastAsiaTheme="minorEastAsia"/>
                <w:bCs/>
                <w:lang w:val="en-US"/>
              </w:rPr>
              <w:t xml:space="preserve"> 5355351</w:t>
            </w:r>
          </w:p>
          <w:p>
            <w:pPr>
              <w:pStyle w:val="23"/>
              <w:autoSpaceDE/>
              <w:autoSpaceDN/>
              <w:jc w:val="both"/>
              <w:rPr>
                <w:rFonts w:eastAsiaTheme="minorEastAsia"/>
                <w:bCs/>
                <w:lang w:val="en-US"/>
              </w:rPr>
            </w:pPr>
            <w:r>
              <w:rPr>
                <w:rFonts w:hint="eastAsia" w:eastAsiaTheme="minorEastAsia"/>
                <w:bCs/>
              </w:rPr>
              <w:t>市</w:t>
            </w:r>
            <w:r>
              <w:rPr>
                <w:rFonts w:eastAsiaTheme="minorEastAsia"/>
                <w:bCs/>
              </w:rPr>
              <w:t>住建局</w:t>
            </w:r>
            <w:r>
              <w:rPr>
                <w:rFonts w:hint="eastAsia" w:eastAsiaTheme="minorEastAsia"/>
                <w:bCs/>
              </w:rPr>
              <w:t>：</w:t>
            </w:r>
            <w:r>
              <w:rPr>
                <w:rFonts w:hint="eastAsia" w:eastAsiaTheme="minorEastAsia"/>
                <w:bCs/>
                <w:lang w:val="en-US"/>
              </w:rPr>
              <w:t>项鹏 5359180</w:t>
            </w:r>
          </w:p>
          <w:p>
            <w:pPr>
              <w:pStyle w:val="23"/>
              <w:autoSpaceDE/>
              <w:autoSpaceDN/>
              <w:jc w:val="both"/>
              <w:rPr>
                <w:rFonts w:eastAsiaTheme="minorEastAsia"/>
                <w:bCs/>
                <w:lang w:val="en-US"/>
              </w:rPr>
            </w:pPr>
            <w:r>
              <w:rPr>
                <w:rFonts w:hint="eastAsia" w:eastAsiaTheme="minorEastAsia"/>
                <w:bCs/>
              </w:rPr>
              <w:t>市</w:t>
            </w:r>
            <w:r>
              <w:rPr>
                <w:rFonts w:eastAsiaTheme="minorEastAsia"/>
                <w:bCs/>
              </w:rPr>
              <w:t>水利和湖泊局</w:t>
            </w:r>
            <w:r>
              <w:rPr>
                <w:rFonts w:hint="eastAsia" w:eastAsiaTheme="minorEastAsia"/>
                <w:bCs/>
              </w:rPr>
              <w:t>：吴建平</w:t>
            </w:r>
            <w:r>
              <w:rPr>
                <w:rFonts w:hint="eastAsia" w:eastAsiaTheme="minorEastAsia"/>
                <w:bCs/>
                <w:lang w:val="en-US"/>
              </w:rPr>
              <w:t xml:space="preserve"> 5351315</w:t>
            </w:r>
          </w:p>
          <w:p>
            <w:pPr>
              <w:pStyle w:val="23"/>
              <w:autoSpaceDE/>
              <w:autoSpaceDN/>
              <w:jc w:val="both"/>
              <w:rPr>
                <w:rFonts w:eastAsiaTheme="minorEastAsia"/>
                <w:bCs/>
                <w:lang w:val="en-US"/>
              </w:rPr>
            </w:pPr>
            <w:r>
              <w:rPr>
                <w:rFonts w:hint="eastAsia" w:eastAsiaTheme="minorEastAsia"/>
                <w:bCs/>
              </w:rPr>
              <w:t>市</w:t>
            </w:r>
            <w:r>
              <w:rPr>
                <w:rFonts w:eastAsiaTheme="minorEastAsia"/>
                <w:bCs/>
              </w:rPr>
              <w:t>农业农村局</w:t>
            </w:r>
            <w:r>
              <w:rPr>
                <w:rFonts w:hint="eastAsia" w:eastAsiaTheme="minorEastAsia"/>
                <w:bCs/>
              </w:rPr>
              <w:t>：杨昆明</w:t>
            </w:r>
            <w:r>
              <w:rPr>
                <w:rFonts w:hint="eastAsia" w:eastAsiaTheme="minorEastAsia"/>
                <w:bCs/>
                <w:lang w:val="en-US"/>
              </w:rPr>
              <w:t xml:space="preserve"> 5352202</w:t>
            </w:r>
          </w:p>
          <w:p>
            <w:pPr>
              <w:pStyle w:val="23"/>
              <w:autoSpaceDE/>
              <w:autoSpaceDN/>
              <w:jc w:val="both"/>
              <w:rPr>
                <w:rFonts w:eastAsiaTheme="minorEastAsia"/>
                <w:bCs/>
                <w:lang w:val="en-US"/>
              </w:rPr>
            </w:pPr>
            <w:r>
              <w:rPr>
                <w:rFonts w:hint="eastAsia" w:eastAsiaTheme="minorEastAsia"/>
                <w:bCs/>
              </w:rPr>
              <w:t>市</w:t>
            </w:r>
            <w:r>
              <w:rPr>
                <w:rFonts w:eastAsiaTheme="minorEastAsia"/>
                <w:bCs/>
              </w:rPr>
              <w:t>卫生健康局</w:t>
            </w:r>
            <w:r>
              <w:rPr>
                <w:rFonts w:hint="eastAsia" w:eastAsiaTheme="minorEastAsia"/>
                <w:bCs/>
              </w:rPr>
              <w:t>：张少辉</w:t>
            </w:r>
            <w:r>
              <w:rPr>
                <w:rFonts w:hint="eastAsia" w:eastAsiaTheme="minorEastAsia"/>
                <w:bCs/>
                <w:lang w:val="en-US"/>
              </w:rPr>
              <w:t xml:space="preserve"> 5354188</w:t>
            </w:r>
          </w:p>
        </w:tc>
        <w:tc>
          <w:tcPr>
            <w:tcW w:w="6652" w:type="dxa"/>
            <w:tcBorders>
              <w:tl2br w:val="nil"/>
              <w:tr2bl w:val="nil"/>
            </w:tcBorders>
            <w:shd w:val="clear" w:color="auto" w:fill="auto"/>
            <w:vAlign w:val="center"/>
          </w:tcPr>
          <w:p>
            <w:pPr>
              <w:pStyle w:val="23"/>
              <w:autoSpaceDE/>
              <w:autoSpaceDN/>
              <w:rPr>
                <w:rFonts w:eastAsiaTheme="minorEastAsia"/>
                <w:bCs/>
              </w:rPr>
            </w:pPr>
            <w:r>
              <w:rPr>
                <w:rFonts w:eastAsiaTheme="minorEastAsia"/>
                <w:bCs/>
              </w:rPr>
              <w:t>负责制订实施突发环境事件应急救援处置方案，依据各自职责，按照应急救援处置方案开展应急处置工作。</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c>
          <w:tcPr>
            <w:tcW w:w="1196" w:type="dxa"/>
            <w:tcBorders>
              <w:tl2br w:val="nil"/>
              <w:tr2bl w:val="nil"/>
            </w:tcBorders>
            <w:shd w:val="clear" w:color="auto" w:fill="auto"/>
            <w:vAlign w:val="center"/>
          </w:tcPr>
          <w:p>
            <w:pPr>
              <w:pStyle w:val="23"/>
              <w:autoSpaceDE/>
              <w:autoSpaceDN/>
              <w:rPr>
                <w:rFonts w:eastAsiaTheme="minorEastAsia"/>
                <w:bCs/>
              </w:rPr>
            </w:pPr>
            <w:r>
              <w:rPr>
                <w:rFonts w:eastAsiaTheme="minorEastAsia"/>
                <w:bCs/>
              </w:rPr>
              <w:t>应急监测组</w:t>
            </w:r>
          </w:p>
        </w:tc>
        <w:tc>
          <w:tcPr>
            <w:tcW w:w="2836" w:type="dxa"/>
            <w:tcBorders>
              <w:tl2br w:val="nil"/>
              <w:tr2bl w:val="nil"/>
            </w:tcBorders>
            <w:shd w:val="clear" w:color="auto" w:fill="auto"/>
            <w:vAlign w:val="center"/>
          </w:tcPr>
          <w:p>
            <w:pPr>
              <w:pStyle w:val="23"/>
              <w:autoSpaceDE/>
              <w:autoSpaceDN/>
              <w:rPr>
                <w:rFonts w:eastAsiaTheme="minorEastAsia"/>
                <w:bCs/>
              </w:rPr>
            </w:pPr>
            <w:r>
              <w:rPr>
                <w:rFonts w:eastAsiaTheme="minorEastAsia"/>
                <w:bCs/>
              </w:rPr>
              <w:t>由咸宁市生态环境局</w:t>
            </w:r>
            <w:r>
              <w:rPr>
                <w:rFonts w:hint="eastAsia" w:eastAsiaTheme="minorEastAsia"/>
                <w:bCs/>
              </w:rPr>
              <w:t>赤壁市</w:t>
            </w:r>
            <w:r>
              <w:rPr>
                <w:rFonts w:eastAsiaTheme="minorEastAsia"/>
                <w:bCs/>
              </w:rPr>
              <w:t>分局负责牵头，</w:t>
            </w:r>
            <w:r>
              <w:rPr>
                <w:rFonts w:hint="eastAsia" w:eastAsiaTheme="minorEastAsia"/>
                <w:bCs/>
              </w:rPr>
              <w:t>市</w:t>
            </w:r>
            <w:r>
              <w:rPr>
                <w:rFonts w:eastAsiaTheme="minorEastAsia"/>
                <w:bCs/>
              </w:rPr>
              <w:t>水利和湖泊局、</w:t>
            </w:r>
            <w:r>
              <w:rPr>
                <w:rFonts w:hint="eastAsia" w:eastAsiaTheme="minorEastAsia"/>
                <w:bCs/>
              </w:rPr>
              <w:t>市</w:t>
            </w:r>
            <w:r>
              <w:rPr>
                <w:rFonts w:eastAsiaTheme="minorEastAsia"/>
                <w:bCs/>
              </w:rPr>
              <w:t>卫生健康局和</w:t>
            </w:r>
            <w:r>
              <w:rPr>
                <w:rFonts w:hint="eastAsia" w:eastAsiaTheme="minorEastAsia"/>
                <w:bCs/>
              </w:rPr>
              <w:t>市</w:t>
            </w:r>
            <w:r>
              <w:rPr>
                <w:rFonts w:eastAsiaTheme="minorEastAsia"/>
                <w:bCs/>
              </w:rPr>
              <w:t>气象局等部门联合组成</w:t>
            </w:r>
          </w:p>
        </w:tc>
        <w:tc>
          <w:tcPr>
            <w:tcW w:w="3479" w:type="dxa"/>
            <w:tcBorders>
              <w:tl2br w:val="nil"/>
              <w:tr2bl w:val="nil"/>
            </w:tcBorders>
            <w:shd w:val="clear" w:color="auto" w:fill="auto"/>
            <w:vAlign w:val="center"/>
          </w:tcPr>
          <w:p>
            <w:pPr>
              <w:pStyle w:val="23"/>
              <w:autoSpaceDE/>
              <w:autoSpaceDN/>
              <w:jc w:val="both"/>
              <w:rPr>
                <w:rFonts w:eastAsiaTheme="minorEastAsia"/>
                <w:bCs/>
              </w:rPr>
            </w:pPr>
            <w:r>
              <w:rPr>
                <w:rFonts w:eastAsiaTheme="minorEastAsia"/>
                <w:bCs/>
              </w:rPr>
              <w:t>咸宁市生态环境局</w:t>
            </w:r>
            <w:r>
              <w:rPr>
                <w:rFonts w:hint="eastAsia" w:eastAsiaTheme="minorEastAsia"/>
                <w:bCs/>
              </w:rPr>
              <w:t>赤壁市</w:t>
            </w:r>
            <w:r>
              <w:rPr>
                <w:rFonts w:eastAsiaTheme="minorEastAsia"/>
                <w:bCs/>
              </w:rPr>
              <w:t>分局</w:t>
            </w:r>
            <w:r>
              <w:rPr>
                <w:rFonts w:hint="eastAsia" w:eastAsiaTheme="minorEastAsia"/>
                <w:bCs/>
              </w:rPr>
              <w:t>：</w:t>
            </w:r>
          </w:p>
          <w:p>
            <w:pPr>
              <w:pStyle w:val="23"/>
              <w:autoSpaceDE/>
              <w:autoSpaceDN/>
              <w:jc w:val="both"/>
              <w:rPr>
                <w:rFonts w:eastAsiaTheme="minorEastAsia"/>
                <w:bCs/>
                <w:lang w:val="en-US"/>
              </w:rPr>
            </w:pPr>
            <w:r>
              <w:rPr>
                <w:rFonts w:hint="eastAsia" w:eastAsiaTheme="minorEastAsia"/>
                <w:bCs/>
              </w:rPr>
              <w:t>伍火平</w:t>
            </w:r>
            <w:r>
              <w:rPr>
                <w:rFonts w:hint="eastAsia" w:eastAsiaTheme="minorEastAsia"/>
                <w:bCs/>
                <w:lang w:val="en-US"/>
              </w:rPr>
              <w:t xml:space="preserve"> 5355351</w:t>
            </w:r>
          </w:p>
          <w:p>
            <w:pPr>
              <w:pStyle w:val="23"/>
              <w:autoSpaceDE/>
              <w:autoSpaceDN/>
              <w:jc w:val="both"/>
              <w:rPr>
                <w:rFonts w:eastAsiaTheme="minorEastAsia"/>
                <w:bCs/>
              </w:rPr>
            </w:pPr>
            <w:r>
              <w:rPr>
                <w:rFonts w:hint="eastAsia" w:eastAsiaTheme="minorEastAsia"/>
                <w:bCs/>
              </w:rPr>
              <w:t>市</w:t>
            </w:r>
            <w:r>
              <w:rPr>
                <w:rFonts w:eastAsiaTheme="minorEastAsia"/>
                <w:bCs/>
              </w:rPr>
              <w:t>水利和湖泊局</w:t>
            </w:r>
            <w:r>
              <w:rPr>
                <w:rFonts w:hint="eastAsia" w:eastAsiaTheme="minorEastAsia"/>
                <w:bCs/>
              </w:rPr>
              <w:t>：吴建平</w:t>
            </w:r>
            <w:r>
              <w:rPr>
                <w:rFonts w:hint="eastAsia" w:eastAsiaTheme="minorEastAsia"/>
                <w:bCs/>
                <w:lang w:val="en-US"/>
              </w:rPr>
              <w:t xml:space="preserve"> 5351315</w:t>
            </w:r>
          </w:p>
          <w:p>
            <w:pPr>
              <w:pStyle w:val="23"/>
              <w:autoSpaceDE/>
              <w:autoSpaceDN/>
              <w:jc w:val="both"/>
              <w:rPr>
                <w:rFonts w:eastAsiaTheme="minorEastAsia"/>
                <w:bCs/>
              </w:rPr>
            </w:pPr>
            <w:r>
              <w:rPr>
                <w:rFonts w:hint="eastAsia" w:eastAsiaTheme="minorEastAsia"/>
                <w:bCs/>
              </w:rPr>
              <w:t>市</w:t>
            </w:r>
            <w:r>
              <w:rPr>
                <w:rFonts w:eastAsiaTheme="minorEastAsia"/>
                <w:bCs/>
              </w:rPr>
              <w:t>卫生健康局</w:t>
            </w:r>
            <w:r>
              <w:rPr>
                <w:rFonts w:hint="eastAsia" w:eastAsiaTheme="minorEastAsia"/>
                <w:bCs/>
              </w:rPr>
              <w:t>：张少辉</w:t>
            </w:r>
            <w:r>
              <w:rPr>
                <w:rFonts w:hint="eastAsia" w:eastAsiaTheme="minorEastAsia"/>
                <w:bCs/>
                <w:lang w:val="en-US"/>
              </w:rPr>
              <w:t xml:space="preserve"> 5354188</w:t>
            </w:r>
          </w:p>
          <w:p>
            <w:pPr>
              <w:pStyle w:val="23"/>
              <w:autoSpaceDE/>
              <w:autoSpaceDN/>
              <w:jc w:val="both"/>
              <w:rPr>
                <w:rFonts w:eastAsiaTheme="minorEastAsia"/>
                <w:bCs/>
              </w:rPr>
            </w:pPr>
            <w:r>
              <w:rPr>
                <w:rFonts w:hint="eastAsia" w:eastAsiaTheme="minorEastAsia"/>
                <w:bCs/>
              </w:rPr>
              <w:t>市</w:t>
            </w:r>
            <w:r>
              <w:rPr>
                <w:rFonts w:eastAsiaTheme="minorEastAsia"/>
                <w:bCs/>
              </w:rPr>
              <w:t>气象局</w:t>
            </w:r>
            <w:r>
              <w:rPr>
                <w:rFonts w:hint="eastAsia" w:eastAsiaTheme="minorEastAsia"/>
                <w:bCs/>
              </w:rPr>
              <w:t>：</w:t>
            </w:r>
            <w:r>
              <w:rPr>
                <w:rFonts w:hint="eastAsia" w:eastAsiaTheme="minorEastAsia"/>
                <w:bCs/>
                <w:lang w:val="en-US"/>
              </w:rPr>
              <w:t xml:space="preserve">许存华 </w:t>
            </w:r>
            <w:r>
              <w:rPr>
                <w:rFonts w:hint="eastAsia" w:eastAsiaTheme="minorEastAsia"/>
                <w:bCs/>
              </w:rPr>
              <w:t>5355896</w:t>
            </w:r>
          </w:p>
        </w:tc>
        <w:tc>
          <w:tcPr>
            <w:tcW w:w="6652" w:type="dxa"/>
            <w:tcBorders>
              <w:tl2br w:val="nil"/>
              <w:tr2bl w:val="nil"/>
            </w:tcBorders>
            <w:shd w:val="clear" w:color="auto" w:fill="auto"/>
            <w:vAlign w:val="center"/>
          </w:tcPr>
          <w:p>
            <w:pPr>
              <w:pStyle w:val="23"/>
              <w:autoSpaceDE/>
              <w:autoSpaceDN/>
              <w:rPr>
                <w:rFonts w:eastAsiaTheme="minorEastAsia"/>
                <w:bCs/>
              </w:rPr>
            </w:pPr>
            <w:r>
              <w:rPr>
                <w:rFonts w:eastAsiaTheme="minorEastAsia"/>
                <w:bCs/>
              </w:rPr>
              <w:t>负责对现场开展应急监测工作，分析污染种类和数量及可能造成的影响，判断事件的变化趋势，向现场指挥部提出控制和消除影响的科学建议。其中咸宁市生态环境局</w:t>
            </w:r>
            <w:r>
              <w:rPr>
                <w:rFonts w:hint="eastAsia" w:eastAsiaTheme="minorEastAsia"/>
                <w:bCs/>
              </w:rPr>
              <w:t>赤壁市</w:t>
            </w:r>
            <w:r>
              <w:rPr>
                <w:rFonts w:eastAsiaTheme="minorEastAsia"/>
                <w:bCs/>
              </w:rPr>
              <w:t>分局负责饮用水</w:t>
            </w:r>
            <w:r>
              <w:rPr>
                <w:rFonts w:hint="eastAsia" w:eastAsiaTheme="minorEastAsia"/>
                <w:bCs/>
              </w:rPr>
              <w:t>水源地</w:t>
            </w:r>
            <w:r>
              <w:rPr>
                <w:rFonts w:eastAsiaTheme="minorEastAsia"/>
                <w:bCs/>
              </w:rPr>
              <w:t>的水质监测和水体污染情况监测，</w:t>
            </w:r>
            <w:r>
              <w:rPr>
                <w:rFonts w:hint="eastAsia" w:eastAsiaTheme="minorEastAsia"/>
                <w:bCs/>
              </w:rPr>
              <w:t>市</w:t>
            </w:r>
            <w:r>
              <w:rPr>
                <w:rFonts w:eastAsiaTheme="minorEastAsia"/>
                <w:bCs/>
              </w:rPr>
              <w:t>水利和湖泊局负责</w:t>
            </w:r>
            <w:r>
              <w:rPr>
                <w:rFonts w:hint="eastAsia" w:eastAsiaTheme="minorEastAsia"/>
                <w:bCs/>
                <w:lang w:val="en-US"/>
              </w:rPr>
              <w:t>协调相关部门</w:t>
            </w:r>
            <w:r>
              <w:rPr>
                <w:rFonts w:eastAsiaTheme="minorEastAsia"/>
                <w:bCs/>
              </w:rPr>
              <w:t>调水通道、饮用水水源</w:t>
            </w:r>
            <w:r>
              <w:rPr>
                <w:rFonts w:hint="eastAsia" w:eastAsiaTheme="minorEastAsia"/>
                <w:bCs/>
              </w:rPr>
              <w:t>地</w:t>
            </w:r>
            <w:r>
              <w:rPr>
                <w:rFonts w:eastAsiaTheme="minorEastAsia"/>
                <w:bCs/>
              </w:rPr>
              <w:t>的水量、流向情况的监测，</w:t>
            </w:r>
            <w:r>
              <w:rPr>
                <w:rFonts w:hint="eastAsia" w:eastAsiaTheme="minorEastAsia"/>
                <w:bCs/>
              </w:rPr>
              <w:t>市</w:t>
            </w:r>
            <w:r>
              <w:rPr>
                <w:rFonts w:eastAsiaTheme="minorEastAsia"/>
                <w:bCs/>
              </w:rPr>
              <w:t>住建局负责取水口进出水水质监测，</w:t>
            </w:r>
            <w:r>
              <w:rPr>
                <w:rFonts w:hint="eastAsia" w:eastAsiaTheme="minorEastAsia"/>
                <w:bCs/>
              </w:rPr>
              <w:t>市</w:t>
            </w:r>
            <w:r>
              <w:rPr>
                <w:rFonts w:eastAsiaTheme="minorEastAsia"/>
                <w:bCs/>
              </w:rPr>
              <w:t>卫生健康局负责对集中式供水单位出厂水质和末梢水水质监测，</w:t>
            </w:r>
            <w:r>
              <w:rPr>
                <w:rFonts w:hint="eastAsia" w:eastAsiaTheme="minorEastAsia"/>
                <w:bCs/>
              </w:rPr>
              <w:t>市</w:t>
            </w:r>
            <w:r>
              <w:rPr>
                <w:rFonts w:eastAsiaTheme="minorEastAsia"/>
                <w:bCs/>
              </w:rPr>
              <w:t>气象局负责气象要素的监测。</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c>
          <w:tcPr>
            <w:tcW w:w="1196" w:type="dxa"/>
            <w:tcBorders>
              <w:tl2br w:val="nil"/>
              <w:tr2bl w:val="nil"/>
            </w:tcBorders>
            <w:shd w:val="clear" w:color="auto" w:fill="auto"/>
            <w:vAlign w:val="center"/>
          </w:tcPr>
          <w:p>
            <w:pPr>
              <w:pStyle w:val="23"/>
              <w:autoSpaceDE/>
              <w:autoSpaceDN/>
              <w:rPr>
                <w:rFonts w:eastAsiaTheme="minorEastAsia"/>
                <w:bCs/>
              </w:rPr>
            </w:pPr>
            <w:r>
              <w:rPr>
                <w:rFonts w:eastAsiaTheme="minorEastAsia"/>
                <w:bCs/>
              </w:rPr>
              <w:t>应急供水保障组</w:t>
            </w:r>
          </w:p>
        </w:tc>
        <w:tc>
          <w:tcPr>
            <w:tcW w:w="2836" w:type="dxa"/>
            <w:tcBorders>
              <w:tl2br w:val="nil"/>
              <w:tr2bl w:val="nil"/>
            </w:tcBorders>
            <w:shd w:val="clear" w:color="auto" w:fill="auto"/>
            <w:vAlign w:val="center"/>
          </w:tcPr>
          <w:p>
            <w:pPr>
              <w:pStyle w:val="23"/>
              <w:autoSpaceDE/>
              <w:autoSpaceDN/>
              <w:rPr>
                <w:rFonts w:eastAsiaTheme="minorEastAsia"/>
                <w:bCs/>
              </w:rPr>
            </w:pPr>
            <w:r>
              <w:rPr>
                <w:rFonts w:eastAsiaTheme="minorEastAsia"/>
                <w:bCs/>
              </w:rPr>
              <w:t>由</w:t>
            </w:r>
            <w:r>
              <w:rPr>
                <w:rFonts w:hint="eastAsia" w:eastAsiaTheme="minorEastAsia"/>
                <w:bCs/>
              </w:rPr>
              <w:t>市</w:t>
            </w:r>
            <w:r>
              <w:rPr>
                <w:rFonts w:eastAsiaTheme="minorEastAsia"/>
                <w:bCs/>
              </w:rPr>
              <w:t>水利和湖泊局负责牵头</w:t>
            </w:r>
            <w:r>
              <w:rPr>
                <w:rFonts w:hint="eastAsia" w:eastAsiaTheme="minorEastAsia"/>
                <w:bCs/>
              </w:rPr>
              <w:t>，各个企业部门组成。</w:t>
            </w:r>
          </w:p>
        </w:tc>
        <w:tc>
          <w:tcPr>
            <w:tcW w:w="3479" w:type="dxa"/>
            <w:tcBorders>
              <w:tl2br w:val="nil"/>
              <w:tr2bl w:val="nil"/>
            </w:tcBorders>
            <w:shd w:val="clear" w:color="auto" w:fill="auto"/>
            <w:vAlign w:val="center"/>
          </w:tcPr>
          <w:p>
            <w:pPr>
              <w:pStyle w:val="23"/>
              <w:autoSpaceDE/>
              <w:autoSpaceDN/>
              <w:jc w:val="both"/>
              <w:rPr>
                <w:rFonts w:eastAsiaTheme="minorEastAsia"/>
                <w:bCs/>
              </w:rPr>
            </w:pPr>
            <w:r>
              <w:rPr>
                <w:rFonts w:hint="eastAsia" w:eastAsiaTheme="minorEastAsia"/>
                <w:bCs/>
              </w:rPr>
              <w:t>市</w:t>
            </w:r>
            <w:r>
              <w:rPr>
                <w:rFonts w:eastAsiaTheme="minorEastAsia"/>
                <w:bCs/>
              </w:rPr>
              <w:t>水利和湖泊局</w:t>
            </w:r>
            <w:r>
              <w:rPr>
                <w:rFonts w:hint="eastAsia" w:eastAsiaTheme="minorEastAsia"/>
                <w:bCs/>
              </w:rPr>
              <w:t>：吴建平</w:t>
            </w:r>
            <w:r>
              <w:rPr>
                <w:rFonts w:hint="eastAsia" w:eastAsiaTheme="minorEastAsia"/>
                <w:bCs/>
                <w:lang w:val="en-US"/>
              </w:rPr>
              <w:t xml:space="preserve"> 5351315</w:t>
            </w:r>
          </w:p>
          <w:p>
            <w:pPr>
              <w:pStyle w:val="23"/>
              <w:autoSpaceDE/>
              <w:autoSpaceDN/>
              <w:jc w:val="both"/>
              <w:rPr>
                <w:rFonts w:eastAsiaTheme="minorEastAsia"/>
                <w:bCs/>
                <w:lang w:val="en-US"/>
              </w:rPr>
            </w:pPr>
            <w:r>
              <w:rPr>
                <w:rFonts w:hint="eastAsia" w:eastAsiaTheme="minorEastAsia"/>
                <w:bCs/>
                <w:lang w:val="en-US"/>
              </w:rPr>
              <w:t>市水务集团：谢强 5220777</w:t>
            </w:r>
          </w:p>
          <w:p>
            <w:pPr>
              <w:pStyle w:val="23"/>
              <w:autoSpaceDE/>
              <w:autoSpaceDN/>
              <w:jc w:val="both"/>
              <w:rPr>
                <w:rFonts w:eastAsiaTheme="minorEastAsia"/>
                <w:bCs/>
                <w:lang w:val="en-US"/>
              </w:rPr>
            </w:pPr>
            <w:r>
              <w:rPr>
                <w:rFonts w:hint="eastAsia" w:eastAsiaTheme="minorEastAsia"/>
                <w:bCs/>
                <w:lang w:val="en-US"/>
              </w:rPr>
              <w:t>市商务局：胡新功 5222972</w:t>
            </w:r>
          </w:p>
          <w:p>
            <w:pPr>
              <w:pStyle w:val="23"/>
              <w:autoSpaceDE/>
              <w:autoSpaceDN/>
              <w:jc w:val="both"/>
              <w:rPr>
                <w:rFonts w:eastAsiaTheme="minorEastAsia"/>
                <w:bCs/>
                <w:lang w:val="en-US"/>
              </w:rPr>
            </w:pPr>
            <w:r>
              <w:rPr>
                <w:rFonts w:hint="eastAsia" w:eastAsiaTheme="minorEastAsia"/>
                <w:bCs/>
                <w:lang w:val="en-US"/>
              </w:rPr>
              <w:t>市应急管理局：刘新洲 5353630</w:t>
            </w:r>
          </w:p>
        </w:tc>
        <w:tc>
          <w:tcPr>
            <w:tcW w:w="6652" w:type="dxa"/>
            <w:tcBorders>
              <w:tl2br w:val="nil"/>
              <w:tr2bl w:val="nil"/>
            </w:tcBorders>
            <w:shd w:val="clear" w:color="auto" w:fill="auto"/>
            <w:vAlign w:val="center"/>
          </w:tcPr>
          <w:p>
            <w:pPr>
              <w:pStyle w:val="23"/>
              <w:autoSpaceDE/>
              <w:autoSpaceDN/>
              <w:rPr>
                <w:rFonts w:eastAsiaTheme="minorEastAsia"/>
                <w:bCs/>
              </w:rPr>
            </w:pPr>
            <w:r>
              <w:rPr>
                <w:rFonts w:eastAsiaTheme="minorEastAsia"/>
                <w:bCs/>
              </w:rPr>
              <w:t>督促供水企业落实应急物资和技术储备，在应急期间采取各种应急处置措施，保证出厂水质质量，保障居民饮用水供应。必要时采取停水措施，由</w:t>
            </w:r>
            <w:r>
              <w:rPr>
                <w:rFonts w:hint="eastAsia" w:eastAsiaTheme="minorEastAsia"/>
                <w:bCs/>
              </w:rPr>
              <w:t>市</w:t>
            </w:r>
            <w:r>
              <w:rPr>
                <w:rFonts w:eastAsiaTheme="minorEastAsia"/>
                <w:bCs/>
              </w:rPr>
              <w:t>商务局和</w:t>
            </w:r>
            <w:r>
              <w:rPr>
                <w:rFonts w:hint="eastAsia" w:eastAsiaTheme="minorEastAsia"/>
                <w:bCs/>
              </w:rPr>
              <w:t>市</w:t>
            </w:r>
            <w:r>
              <w:rPr>
                <w:rFonts w:eastAsiaTheme="minorEastAsia"/>
                <w:bCs/>
              </w:rPr>
              <w:t>应急管理局负责组织净水的供应。</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c>
          <w:tcPr>
            <w:tcW w:w="1196" w:type="dxa"/>
            <w:tcBorders>
              <w:tl2br w:val="nil"/>
              <w:tr2bl w:val="nil"/>
            </w:tcBorders>
            <w:shd w:val="clear" w:color="auto" w:fill="auto"/>
            <w:vAlign w:val="center"/>
          </w:tcPr>
          <w:p>
            <w:pPr>
              <w:pStyle w:val="23"/>
              <w:autoSpaceDE/>
              <w:autoSpaceDN/>
              <w:rPr>
                <w:rFonts w:eastAsiaTheme="minorEastAsia"/>
                <w:bCs/>
              </w:rPr>
            </w:pPr>
            <w:r>
              <w:rPr>
                <w:rFonts w:eastAsiaTheme="minorEastAsia"/>
                <w:bCs/>
              </w:rPr>
              <w:t>应急物资保障组</w:t>
            </w:r>
          </w:p>
        </w:tc>
        <w:tc>
          <w:tcPr>
            <w:tcW w:w="2836" w:type="dxa"/>
            <w:tcBorders>
              <w:tl2br w:val="nil"/>
              <w:tr2bl w:val="nil"/>
            </w:tcBorders>
            <w:shd w:val="clear" w:color="auto" w:fill="auto"/>
            <w:vAlign w:val="center"/>
          </w:tcPr>
          <w:p>
            <w:pPr>
              <w:pStyle w:val="23"/>
              <w:autoSpaceDE/>
              <w:autoSpaceDN/>
              <w:rPr>
                <w:rFonts w:eastAsiaTheme="minorEastAsia"/>
                <w:bCs/>
              </w:rPr>
            </w:pPr>
            <w:r>
              <w:rPr>
                <w:rFonts w:eastAsiaTheme="minorEastAsia"/>
                <w:bCs/>
              </w:rPr>
              <w:t>由民政局负责牵头，</w:t>
            </w:r>
            <w:r>
              <w:rPr>
                <w:rFonts w:hint="eastAsia" w:eastAsiaTheme="minorEastAsia"/>
                <w:bCs/>
              </w:rPr>
              <w:t>市</w:t>
            </w:r>
            <w:r>
              <w:rPr>
                <w:rFonts w:eastAsiaTheme="minorEastAsia"/>
                <w:bCs/>
              </w:rPr>
              <w:t>应急管理局、</w:t>
            </w:r>
            <w:r>
              <w:rPr>
                <w:rFonts w:hint="eastAsia" w:eastAsiaTheme="minorEastAsia"/>
                <w:bCs/>
              </w:rPr>
              <w:t>市</w:t>
            </w:r>
            <w:r>
              <w:rPr>
                <w:rFonts w:eastAsiaTheme="minorEastAsia"/>
                <w:bCs/>
              </w:rPr>
              <w:t>商务局、</w:t>
            </w:r>
            <w:r>
              <w:rPr>
                <w:rFonts w:hint="eastAsia" w:eastAsiaTheme="minorEastAsia"/>
                <w:bCs/>
              </w:rPr>
              <w:t>市</w:t>
            </w:r>
            <w:r>
              <w:rPr>
                <w:rFonts w:eastAsiaTheme="minorEastAsia"/>
                <w:bCs/>
              </w:rPr>
              <w:t>公安局、</w:t>
            </w:r>
            <w:r>
              <w:rPr>
                <w:rFonts w:hint="eastAsia" w:eastAsiaTheme="minorEastAsia"/>
                <w:bCs/>
              </w:rPr>
              <w:t>市</w:t>
            </w:r>
            <w:r>
              <w:rPr>
                <w:rFonts w:eastAsiaTheme="minorEastAsia"/>
                <w:bCs/>
              </w:rPr>
              <w:t>财政局、</w:t>
            </w:r>
            <w:r>
              <w:rPr>
                <w:rFonts w:hint="eastAsia" w:eastAsiaTheme="minorEastAsia"/>
                <w:bCs/>
              </w:rPr>
              <w:t>市</w:t>
            </w:r>
            <w:r>
              <w:rPr>
                <w:rFonts w:eastAsiaTheme="minorEastAsia"/>
                <w:bCs/>
              </w:rPr>
              <w:t>交通运输局等组成</w:t>
            </w:r>
          </w:p>
        </w:tc>
        <w:tc>
          <w:tcPr>
            <w:tcW w:w="3479" w:type="dxa"/>
            <w:tcBorders>
              <w:tl2br w:val="nil"/>
              <w:tr2bl w:val="nil"/>
            </w:tcBorders>
            <w:shd w:val="clear" w:color="auto" w:fill="auto"/>
            <w:vAlign w:val="center"/>
          </w:tcPr>
          <w:p>
            <w:pPr>
              <w:pStyle w:val="23"/>
              <w:autoSpaceDE/>
              <w:autoSpaceDN/>
              <w:jc w:val="both"/>
              <w:rPr>
                <w:rFonts w:eastAsiaTheme="minorEastAsia"/>
                <w:bCs/>
                <w:lang w:val="en-US"/>
              </w:rPr>
            </w:pPr>
            <w:r>
              <w:rPr>
                <w:rFonts w:hint="eastAsia" w:eastAsiaTheme="minorEastAsia"/>
                <w:bCs/>
                <w:lang w:val="en-US"/>
              </w:rPr>
              <w:t>市民政局：程江海 5331509</w:t>
            </w:r>
          </w:p>
          <w:p>
            <w:pPr>
              <w:pStyle w:val="23"/>
              <w:autoSpaceDE/>
              <w:autoSpaceDN/>
              <w:jc w:val="both"/>
              <w:rPr>
                <w:rFonts w:eastAsiaTheme="minorEastAsia"/>
                <w:bCs/>
              </w:rPr>
            </w:pPr>
            <w:r>
              <w:rPr>
                <w:rFonts w:hint="eastAsia" w:eastAsiaTheme="minorEastAsia"/>
                <w:bCs/>
              </w:rPr>
              <w:t>市</w:t>
            </w:r>
            <w:r>
              <w:rPr>
                <w:rFonts w:eastAsiaTheme="minorEastAsia"/>
                <w:bCs/>
              </w:rPr>
              <w:t>应急管理局</w:t>
            </w:r>
            <w:r>
              <w:rPr>
                <w:rFonts w:hint="eastAsia" w:eastAsiaTheme="minorEastAsia"/>
                <w:bCs/>
              </w:rPr>
              <w:t>：</w:t>
            </w:r>
            <w:r>
              <w:rPr>
                <w:rFonts w:hint="eastAsia" w:eastAsiaTheme="minorEastAsia"/>
                <w:bCs/>
                <w:lang w:val="en-US"/>
              </w:rPr>
              <w:t>刘新洲 5353630</w:t>
            </w:r>
          </w:p>
          <w:p>
            <w:pPr>
              <w:pStyle w:val="23"/>
              <w:autoSpaceDE/>
              <w:autoSpaceDN/>
              <w:jc w:val="both"/>
              <w:rPr>
                <w:rFonts w:eastAsiaTheme="minorEastAsia"/>
                <w:bCs/>
                <w:lang w:val="en-US"/>
              </w:rPr>
            </w:pPr>
            <w:r>
              <w:rPr>
                <w:rFonts w:hint="eastAsia" w:eastAsiaTheme="minorEastAsia"/>
                <w:bCs/>
              </w:rPr>
              <w:t>市</w:t>
            </w:r>
            <w:r>
              <w:rPr>
                <w:rFonts w:eastAsiaTheme="minorEastAsia"/>
                <w:bCs/>
              </w:rPr>
              <w:t>商务局</w:t>
            </w:r>
            <w:r>
              <w:rPr>
                <w:rFonts w:hint="eastAsia" w:eastAsiaTheme="minorEastAsia"/>
                <w:bCs/>
              </w:rPr>
              <w:t>：</w:t>
            </w:r>
            <w:r>
              <w:rPr>
                <w:rFonts w:hint="eastAsia" w:eastAsiaTheme="minorEastAsia"/>
                <w:bCs/>
                <w:lang w:val="en-US"/>
              </w:rPr>
              <w:t>胡新功 5222972</w:t>
            </w:r>
          </w:p>
          <w:p>
            <w:pPr>
              <w:pStyle w:val="23"/>
              <w:autoSpaceDE/>
              <w:autoSpaceDN/>
              <w:jc w:val="both"/>
              <w:rPr>
                <w:rFonts w:eastAsiaTheme="minorEastAsia"/>
                <w:bCs/>
                <w:lang w:val="en-US"/>
              </w:rPr>
            </w:pPr>
            <w:r>
              <w:rPr>
                <w:rFonts w:hint="eastAsia" w:eastAsiaTheme="minorEastAsia"/>
                <w:bCs/>
              </w:rPr>
              <w:t>市</w:t>
            </w:r>
            <w:r>
              <w:rPr>
                <w:rFonts w:eastAsiaTheme="minorEastAsia"/>
                <w:bCs/>
              </w:rPr>
              <w:t>公安局</w:t>
            </w:r>
            <w:r>
              <w:rPr>
                <w:rFonts w:hint="eastAsia" w:eastAsiaTheme="minorEastAsia"/>
                <w:bCs/>
              </w:rPr>
              <w:t>：程伟</w:t>
            </w:r>
            <w:r>
              <w:rPr>
                <w:rFonts w:hint="eastAsia" w:eastAsiaTheme="minorEastAsia"/>
                <w:bCs/>
                <w:lang w:val="en-US"/>
              </w:rPr>
              <w:t xml:space="preserve"> 5263411</w:t>
            </w:r>
          </w:p>
          <w:p>
            <w:pPr>
              <w:pStyle w:val="23"/>
              <w:autoSpaceDE/>
              <w:autoSpaceDN/>
              <w:jc w:val="both"/>
              <w:rPr>
                <w:rFonts w:eastAsiaTheme="minorEastAsia"/>
                <w:bCs/>
                <w:lang w:val="en-US"/>
              </w:rPr>
            </w:pPr>
            <w:r>
              <w:rPr>
                <w:rFonts w:hint="eastAsia" w:eastAsiaTheme="minorEastAsia"/>
                <w:bCs/>
              </w:rPr>
              <w:t>市</w:t>
            </w:r>
            <w:r>
              <w:rPr>
                <w:rFonts w:eastAsiaTheme="minorEastAsia"/>
                <w:bCs/>
              </w:rPr>
              <w:t>财政局</w:t>
            </w:r>
            <w:r>
              <w:rPr>
                <w:rFonts w:hint="eastAsia" w:eastAsiaTheme="minorEastAsia"/>
                <w:bCs/>
              </w:rPr>
              <w:t>：徐亚华</w:t>
            </w:r>
            <w:r>
              <w:rPr>
                <w:rFonts w:hint="eastAsia" w:eastAsiaTheme="minorEastAsia"/>
                <w:bCs/>
                <w:lang w:val="en-US"/>
              </w:rPr>
              <w:t xml:space="preserve"> 5330997</w:t>
            </w:r>
          </w:p>
          <w:p>
            <w:pPr>
              <w:pStyle w:val="23"/>
              <w:autoSpaceDE/>
              <w:autoSpaceDN/>
              <w:jc w:val="both"/>
              <w:rPr>
                <w:rFonts w:eastAsiaTheme="minorEastAsia"/>
                <w:bCs/>
                <w:lang w:val="en-US"/>
              </w:rPr>
            </w:pPr>
            <w:r>
              <w:rPr>
                <w:rFonts w:hint="eastAsia" w:eastAsiaTheme="minorEastAsia"/>
                <w:bCs/>
              </w:rPr>
              <w:t>市</w:t>
            </w:r>
            <w:r>
              <w:rPr>
                <w:rFonts w:eastAsiaTheme="minorEastAsia"/>
                <w:bCs/>
              </w:rPr>
              <w:t>交通运输局</w:t>
            </w:r>
            <w:r>
              <w:rPr>
                <w:rFonts w:hint="eastAsia" w:eastAsiaTheme="minorEastAsia"/>
                <w:bCs/>
              </w:rPr>
              <w:t>：邓晓金</w:t>
            </w:r>
            <w:r>
              <w:rPr>
                <w:rFonts w:hint="eastAsia" w:eastAsiaTheme="minorEastAsia"/>
                <w:bCs/>
                <w:lang w:val="en-US"/>
              </w:rPr>
              <w:t xml:space="preserve"> 5362001</w:t>
            </w:r>
          </w:p>
        </w:tc>
        <w:tc>
          <w:tcPr>
            <w:tcW w:w="6652" w:type="dxa"/>
            <w:tcBorders>
              <w:tl2br w:val="nil"/>
              <w:tr2bl w:val="nil"/>
            </w:tcBorders>
            <w:shd w:val="clear" w:color="auto" w:fill="auto"/>
            <w:vAlign w:val="center"/>
          </w:tcPr>
          <w:p>
            <w:pPr>
              <w:pStyle w:val="23"/>
              <w:autoSpaceDE/>
              <w:autoSpaceDN/>
              <w:rPr>
                <w:rFonts w:eastAsiaTheme="minorEastAsia"/>
                <w:bCs/>
              </w:rPr>
            </w:pPr>
            <w:r>
              <w:rPr>
                <w:rFonts w:hint="eastAsia" w:eastAsiaTheme="minorEastAsia"/>
                <w:bCs/>
              </w:rPr>
              <w:t>市</w:t>
            </w:r>
            <w:r>
              <w:rPr>
                <w:rFonts w:eastAsiaTheme="minorEastAsia"/>
                <w:bCs/>
              </w:rPr>
              <w:t>民政局负责救援物资发放，</w:t>
            </w:r>
            <w:r>
              <w:rPr>
                <w:rFonts w:hint="eastAsia" w:eastAsiaTheme="minorEastAsia"/>
                <w:bCs/>
              </w:rPr>
              <w:t>市</w:t>
            </w:r>
            <w:r>
              <w:rPr>
                <w:rFonts w:eastAsiaTheme="minorEastAsia"/>
                <w:bCs/>
              </w:rPr>
              <w:t>应急管理局负责相关应急物资调集，</w:t>
            </w:r>
            <w:r>
              <w:rPr>
                <w:rFonts w:hint="eastAsia" w:eastAsiaTheme="minorEastAsia"/>
                <w:bCs/>
              </w:rPr>
              <w:t>市</w:t>
            </w:r>
            <w:r>
              <w:rPr>
                <w:rFonts w:eastAsiaTheme="minorEastAsia"/>
                <w:bCs/>
              </w:rPr>
              <w:t>商务局负责协调基本生活物资的调拨和紧急供应，</w:t>
            </w:r>
            <w:r>
              <w:rPr>
                <w:rFonts w:hint="eastAsia" w:eastAsiaTheme="minorEastAsia"/>
                <w:bCs/>
              </w:rPr>
              <w:t>市</w:t>
            </w:r>
            <w:r>
              <w:rPr>
                <w:rFonts w:eastAsiaTheme="minorEastAsia"/>
                <w:bCs/>
              </w:rPr>
              <w:t>公安局负责维护社会治安、保障道路交通畅通工作，</w:t>
            </w:r>
            <w:r>
              <w:rPr>
                <w:rFonts w:hint="eastAsia" w:eastAsiaTheme="minorEastAsia"/>
                <w:bCs/>
              </w:rPr>
              <w:t>市</w:t>
            </w:r>
            <w:r>
              <w:rPr>
                <w:rFonts w:eastAsiaTheme="minorEastAsia"/>
                <w:bCs/>
              </w:rPr>
              <w:t>财政局负责调拨事件应急体系运行经费，</w:t>
            </w:r>
            <w:r>
              <w:rPr>
                <w:rFonts w:hint="eastAsia" w:eastAsiaTheme="minorEastAsia"/>
                <w:bCs/>
              </w:rPr>
              <w:t>市</w:t>
            </w:r>
            <w:r>
              <w:rPr>
                <w:rFonts w:eastAsiaTheme="minorEastAsia"/>
                <w:bCs/>
              </w:rPr>
              <w:t>交通运输局负责协调应急处置所需的交通运输。</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c>
          <w:tcPr>
            <w:tcW w:w="1196" w:type="dxa"/>
            <w:tcBorders>
              <w:tl2br w:val="nil"/>
              <w:tr2bl w:val="nil"/>
            </w:tcBorders>
            <w:shd w:val="clear" w:color="auto" w:fill="auto"/>
            <w:vAlign w:val="center"/>
          </w:tcPr>
          <w:p>
            <w:pPr>
              <w:pStyle w:val="23"/>
              <w:autoSpaceDE/>
              <w:autoSpaceDN/>
              <w:rPr>
                <w:rFonts w:eastAsiaTheme="minorEastAsia"/>
                <w:bCs/>
              </w:rPr>
            </w:pPr>
            <w:r>
              <w:rPr>
                <w:rFonts w:eastAsiaTheme="minorEastAsia"/>
                <w:bCs/>
              </w:rPr>
              <w:t>应急专家组</w:t>
            </w:r>
          </w:p>
        </w:tc>
        <w:tc>
          <w:tcPr>
            <w:tcW w:w="2836" w:type="dxa"/>
            <w:tcBorders>
              <w:tl2br w:val="nil"/>
              <w:tr2bl w:val="nil"/>
            </w:tcBorders>
            <w:shd w:val="clear" w:color="auto" w:fill="auto"/>
            <w:vAlign w:val="center"/>
          </w:tcPr>
          <w:p>
            <w:pPr>
              <w:pStyle w:val="23"/>
              <w:autoSpaceDE/>
              <w:autoSpaceDN/>
              <w:rPr>
                <w:rFonts w:eastAsiaTheme="minorEastAsia"/>
                <w:bCs/>
              </w:rPr>
            </w:pPr>
            <w:r>
              <w:rPr>
                <w:rFonts w:eastAsiaTheme="minorEastAsia"/>
                <w:bCs/>
              </w:rPr>
              <w:t>根据需要聘请饮用水水源地安全危机的应急处置专家</w:t>
            </w:r>
          </w:p>
        </w:tc>
        <w:tc>
          <w:tcPr>
            <w:tcW w:w="3479" w:type="dxa"/>
            <w:tcBorders>
              <w:tl2br w:val="nil"/>
              <w:tr2bl w:val="nil"/>
            </w:tcBorders>
            <w:shd w:val="clear" w:color="auto" w:fill="auto"/>
            <w:vAlign w:val="center"/>
          </w:tcPr>
          <w:p>
            <w:pPr>
              <w:pStyle w:val="23"/>
              <w:autoSpaceDE/>
              <w:autoSpaceDN/>
              <w:jc w:val="both"/>
              <w:rPr>
                <w:rFonts w:eastAsiaTheme="minorEastAsia"/>
                <w:bCs/>
              </w:rPr>
            </w:pPr>
            <w:r>
              <w:rPr>
                <w:rFonts w:eastAsiaTheme="minorEastAsia"/>
                <w:bCs/>
              </w:rPr>
              <w:t>咸宁市生态环境局</w:t>
            </w:r>
            <w:r>
              <w:rPr>
                <w:rFonts w:hint="eastAsia" w:eastAsiaTheme="minorEastAsia"/>
                <w:bCs/>
              </w:rPr>
              <w:t>赤壁市</w:t>
            </w:r>
            <w:r>
              <w:rPr>
                <w:rFonts w:eastAsiaTheme="minorEastAsia"/>
                <w:bCs/>
              </w:rPr>
              <w:t>分局</w:t>
            </w:r>
            <w:r>
              <w:rPr>
                <w:rFonts w:hint="eastAsia" w:eastAsiaTheme="minorEastAsia"/>
                <w:bCs/>
              </w:rPr>
              <w:t>：</w:t>
            </w:r>
          </w:p>
          <w:p>
            <w:pPr>
              <w:pStyle w:val="23"/>
              <w:autoSpaceDE/>
              <w:autoSpaceDN/>
              <w:jc w:val="both"/>
              <w:rPr>
                <w:rFonts w:eastAsiaTheme="minorEastAsia"/>
                <w:bCs/>
                <w:lang w:val="en-US"/>
              </w:rPr>
            </w:pPr>
            <w:r>
              <w:rPr>
                <w:rFonts w:hint="eastAsia" w:eastAsiaTheme="minorEastAsia"/>
                <w:bCs/>
              </w:rPr>
              <w:t>伍火平</w:t>
            </w:r>
            <w:r>
              <w:rPr>
                <w:rFonts w:hint="eastAsia" w:eastAsiaTheme="minorEastAsia"/>
                <w:bCs/>
                <w:lang w:val="en-US"/>
              </w:rPr>
              <w:t xml:space="preserve"> 5355351</w:t>
            </w:r>
          </w:p>
          <w:p>
            <w:pPr>
              <w:pStyle w:val="23"/>
              <w:autoSpaceDE/>
              <w:autoSpaceDN/>
              <w:jc w:val="both"/>
              <w:rPr>
                <w:rFonts w:eastAsiaTheme="minorEastAsia"/>
                <w:bCs/>
                <w:lang w:val="en-US"/>
              </w:rPr>
            </w:pPr>
            <w:r>
              <w:rPr>
                <w:rFonts w:hint="eastAsia" w:eastAsiaTheme="minorEastAsia"/>
                <w:bCs/>
              </w:rPr>
              <w:t>市</w:t>
            </w:r>
            <w:r>
              <w:rPr>
                <w:rFonts w:eastAsiaTheme="minorEastAsia"/>
                <w:bCs/>
              </w:rPr>
              <w:t>水利和湖泊局</w:t>
            </w:r>
            <w:r>
              <w:rPr>
                <w:rFonts w:hint="eastAsia" w:eastAsiaTheme="minorEastAsia"/>
                <w:bCs/>
              </w:rPr>
              <w:t>：吴建平</w:t>
            </w:r>
            <w:r>
              <w:rPr>
                <w:rFonts w:hint="eastAsia" w:eastAsiaTheme="minorEastAsia"/>
                <w:bCs/>
                <w:lang w:val="en-US"/>
              </w:rPr>
              <w:t xml:space="preserve"> 5351315</w:t>
            </w:r>
          </w:p>
          <w:p>
            <w:pPr>
              <w:pStyle w:val="23"/>
              <w:autoSpaceDE/>
              <w:autoSpaceDN/>
              <w:jc w:val="both"/>
              <w:rPr>
                <w:rFonts w:eastAsiaTheme="minorEastAsia"/>
                <w:bCs/>
              </w:rPr>
            </w:pPr>
            <w:r>
              <w:rPr>
                <w:rFonts w:hint="eastAsia" w:eastAsiaTheme="minorEastAsia"/>
                <w:bCs/>
              </w:rPr>
              <w:t>市</w:t>
            </w:r>
            <w:r>
              <w:rPr>
                <w:rFonts w:eastAsiaTheme="minorEastAsia"/>
                <w:bCs/>
              </w:rPr>
              <w:t>卫生健康局</w:t>
            </w:r>
            <w:r>
              <w:rPr>
                <w:rFonts w:hint="eastAsia" w:eastAsiaTheme="minorEastAsia"/>
                <w:bCs/>
              </w:rPr>
              <w:t>：张少辉</w:t>
            </w:r>
            <w:r>
              <w:rPr>
                <w:rFonts w:hint="eastAsia" w:eastAsiaTheme="minorEastAsia"/>
                <w:bCs/>
                <w:lang w:val="en-US"/>
              </w:rPr>
              <w:t xml:space="preserve"> 5354188</w:t>
            </w:r>
          </w:p>
        </w:tc>
        <w:tc>
          <w:tcPr>
            <w:tcW w:w="6652" w:type="dxa"/>
            <w:tcBorders>
              <w:tl2br w:val="nil"/>
              <w:tr2bl w:val="nil"/>
            </w:tcBorders>
            <w:shd w:val="clear" w:color="auto" w:fill="auto"/>
            <w:vAlign w:val="center"/>
          </w:tcPr>
          <w:p>
            <w:pPr>
              <w:pStyle w:val="23"/>
              <w:autoSpaceDE/>
              <w:autoSpaceDN/>
              <w:rPr>
                <w:rFonts w:eastAsiaTheme="minorEastAsia"/>
                <w:bCs/>
              </w:rPr>
            </w:pPr>
            <w:r>
              <w:rPr>
                <w:rFonts w:eastAsiaTheme="minorEastAsia"/>
                <w:bCs/>
              </w:rPr>
              <w:t>根据需要聘请饮用水水源地安全危机的应急处置专家，分析情况。根据专家的建议，通知相关应急救援力量随时待命，为应急指挥机构提供技术支持；必要时请示上一级应急指挥部调集事发地周边地区专业应急力量实施增援。</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c>
          <w:tcPr>
            <w:tcW w:w="1196" w:type="dxa"/>
            <w:tcBorders>
              <w:tl2br w:val="nil"/>
              <w:tr2bl w:val="nil"/>
            </w:tcBorders>
            <w:shd w:val="clear" w:color="auto" w:fill="auto"/>
            <w:vAlign w:val="center"/>
          </w:tcPr>
          <w:p>
            <w:pPr>
              <w:pStyle w:val="23"/>
              <w:autoSpaceDE/>
              <w:autoSpaceDN/>
              <w:rPr>
                <w:rFonts w:eastAsiaTheme="minorEastAsia"/>
                <w:bCs/>
              </w:rPr>
            </w:pPr>
            <w:r>
              <w:rPr>
                <w:rFonts w:eastAsiaTheme="minorEastAsia"/>
                <w:bCs/>
              </w:rPr>
              <w:t>综合组</w:t>
            </w:r>
          </w:p>
        </w:tc>
        <w:tc>
          <w:tcPr>
            <w:tcW w:w="2836" w:type="dxa"/>
            <w:tcBorders>
              <w:tl2br w:val="nil"/>
              <w:tr2bl w:val="nil"/>
            </w:tcBorders>
            <w:shd w:val="clear" w:color="auto" w:fill="auto"/>
            <w:vAlign w:val="center"/>
          </w:tcPr>
          <w:p>
            <w:pPr>
              <w:pStyle w:val="23"/>
              <w:autoSpaceDE/>
              <w:autoSpaceDN/>
              <w:rPr>
                <w:rFonts w:eastAsiaTheme="minorEastAsia"/>
                <w:bCs/>
              </w:rPr>
            </w:pPr>
            <w:r>
              <w:rPr>
                <w:rFonts w:eastAsiaTheme="minorEastAsia"/>
                <w:bCs/>
              </w:rPr>
              <w:t>由</w:t>
            </w:r>
            <w:r>
              <w:rPr>
                <w:rFonts w:hint="eastAsia" w:eastAsiaTheme="minorEastAsia"/>
                <w:bCs/>
              </w:rPr>
              <w:t>市</w:t>
            </w:r>
            <w:r>
              <w:rPr>
                <w:rFonts w:eastAsiaTheme="minorEastAsia"/>
                <w:bCs/>
              </w:rPr>
              <w:t>委宣传部牵头，</w:t>
            </w:r>
            <w:r>
              <w:rPr>
                <w:rFonts w:hint="eastAsia" w:eastAsiaTheme="minorEastAsia"/>
                <w:bCs/>
              </w:rPr>
              <w:t>市</w:t>
            </w:r>
            <w:r>
              <w:rPr>
                <w:rFonts w:eastAsiaTheme="minorEastAsia"/>
                <w:bCs/>
              </w:rPr>
              <w:t>民政局、</w:t>
            </w:r>
            <w:r>
              <w:rPr>
                <w:rFonts w:hint="eastAsia" w:eastAsiaTheme="minorEastAsia"/>
                <w:bCs/>
              </w:rPr>
              <w:t>市</w:t>
            </w:r>
            <w:r>
              <w:rPr>
                <w:rFonts w:eastAsiaTheme="minorEastAsia"/>
                <w:bCs/>
              </w:rPr>
              <w:t>文体和旅游局、咸宁市生态环境局</w:t>
            </w:r>
            <w:r>
              <w:rPr>
                <w:rFonts w:hint="eastAsia" w:eastAsiaTheme="minorEastAsia"/>
                <w:bCs/>
              </w:rPr>
              <w:t>赤壁市</w:t>
            </w:r>
            <w:r>
              <w:rPr>
                <w:rFonts w:eastAsiaTheme="minorEastAsia"/>
                <w:bCs/>
              </w:rPr>
              <w:t>分局、各镇政府等参加</w:t>
            </w:r>
          </w:p>
        </w:tc>
        <w:tc>
          <w:tcPr>
            <w:tcW w:w="3479" w:type="dxa"/>
            <w:tcBorders>
              <w:tl2br w:val="nil"/>
              <w:tr2bl w:val="nil"/>
            </w:tcBorders>
            <w:shd w:val="clear" w:color="auto" w:fill="auto"/>
            <w:vAlign w:val="center"/>
          </w:tcPr>
          <w:p>
            <w:pPr>
              <w:pStyle w:val="23"/>
              <w:autoSpaceDE/>
              <w:autoSpaceDN/>
              <w:jc w:val="both"/>
              <w:rPr>
                <w:rFonts w:eastAsiaTheme="minorEastAsia"/>
                <w:bCs/>
              </w:rPr>
            </w:pPr>
            <w:r>
              <w:rPr>
                <w:rFonts w:hint="eastAsia" w:eastAsiaTheme="minorEastAsia"/>
                <w:bCs/>
              </w:rPr>
              <w:t>市</w:t>
            </w:r>
            <w:r>
              <w:rPr>
                <w:rFonts w:eastAsiaTheme="minorEastAsia"/>
                <w:bCs/>
              </w:rPr>
              <w:t>委宣传部</w:t>
            </w:r>
            <w:r>
              <w:rPr>
                <w:rFonts w:hint="eastAsia" w:eastAsiaTheme="minorEastAsia"/>
                <w:bCs/>
              </w:rPr>
              <w:t>：宋慧宇</w:t>
            </w:r>
            <w:r>
              <w:rPr>
                <w:rFonts w:hint="eastAsia" w:eastAsiaTheme="minorEastAsia"/>
                <w:bCs/>
                <w:lang w:val="en-US"/>
              </w:rPr>
              <w:t xml:space="preserve"> 5355891</w:t>
            </w:r>
          </w:p>
          <w:p>
            <w:pPr>
              <w:pStyle w:val="23"/>
              <w:autoSpaceDE/>
              <w:autoSpaceDN/>
              <w:jc w:val="both"/>
              <w:rPr>
                <w:rFonts w:eastAsiaTheme="minorEastAsia"/>
                <w:bCs/>
                <w:lang w:val="en-US"/>
              </w:rPr>
            </w:pPr>
            <w:r>
              <w:rPr>
                <w:rFonts w:hint="eastAsia" w:eastAsiaTheme="minorEastAsia"/>
                <w:bCs/>
              </w:rPr>
              <w:t>市</w:t>
            </w:r>
            <w:r>
              <w:rPr>
                <w:rFonts w:eastAsiaTheme="minorEastAsia"/>
                <w:bCs/>
              </w:rPr>
              <w:t>民政局</w:t>
            </w:r>
            <w:r>
              <w:rPr>
                <w:rFonts w:hint="eastAsia" w:eastAsiaTheme="minorEastAsia"/>
                <w:bCs/>
              </w:rPr>
              <w:t>：</w:t>
            </w:r>
            <w:r>
              <w:rPr>
                <w:rFonts w:hint="eastAsia" w:eastAsiaTheme="minorEastAsia"/>
                <w:bCs/>
                <w:lang w:val="en-US"/>
              </w:rPr>
              <w:t>程江海 5331509</w:t>
            </w:r>
          </w:p>
          <w:p>
            <w:pPr>
              <w:pStyle w:val="23"/>
              <w:autoSpaceDE/>
              <w:autoSpaceDN/>
              <w:jc w:val="both"/>
              <w:rPr>
                <w:rFonts w:eastAsiaTheme="minorEastAsia"/>
                <w:bCs/>
                <w:lang w:val="en-US"/>
              </w:rPr>
            </w:pPr>
            <w:r>
              <w:rPr>
                <w:rFonts w:hint="eastAsia" w:eastAsiaTheme="minorEastAsia"/>
                <w:bCs/>
              </w:rPr>
              <w:t>市</w:t>
            </w:r>
            <w:r>
              <w:rPr>
                <w:rFonts w:eastAsiaTheme="minorEastAsia"/>
                <w:bCs/>
              </w:rPr>
              <w:t>文体和旅游局</w:t>
            </w:r>
            <w:r>
              <w:rPr>
                <w:rFonts w:hint="eastAsia" w:eastAsiaTheme="minorEastAsia"/>
                <w:bCs/>
              </w:rPr>
              <w:t>：祝爱华</w:t>
            </w:r>
            <w:r>
              <w:rPr>
                <w:rFonts w:hint="eastAsia" w:eastAsiaTheme="minorEastAsia"/>
                <w:bCs/>
                <w:lang w:val="en-US"/>
              </w:rPr>
              <w:t xml:space="preserve"> 5352180</w:t>
            </w:r>
          </w:p>
          <w:p>
            <w:pPr>
              <w:pStyle w:val="23"/>
              <w:autoSpaceDE/>
              <w:autoSpaceDN/>
              <w:jc w:val="both"/>
              <w:rPr>
                <w:rFonts w:eastAsiaTheme="minorEastAsia"/>
                <w:bCs/>
              </w:rPr>
            </w:pPr>
            <w:r>
              <w:rPr>
                <w:rFonts w:eastAsiaTheme="minorEastAsia"/>
                <w:bCs/>
              </w:rPr>
              <w:t>咸宁市生态环境局</w:t>
            </w:r>
            <w:r>
              <w:rPr>
                <w:rFonts w:hint="eastAsia" w:eastAsiaTheme="minorEastAsia"/>
                <w:bCs/>
              </w:rPr>
              <w:t>赤壁市</w:t>
            </w:r>
            <w:r>
              <w:rPr>
                <w:rFonts w:eastAsiaTheme="minorEastAsia"/>
                <w:bCs/>
              </w:rPr>
              <w:t>分局</w:t>
            </w:r>
            <w:r>
              <w:rPr>
                <w:rFonts w:hint="eastAsia" w:eastAsiaTheme="minorEastAsia"/>
                <w:bCs/>
              </w:rPr>
              <w:t>：</w:t>
            </w:r>
          </w:p>
          <w:p>
            <w:pPr>
              <w:pStyle w:val="23"/>
              <w:autoSpaceDE/>
              <w:autoSpaceDN/>
              <w:jc w:val="both"/>
              <w:rPr>
                <w:rFonts w:eastAsiaTheme="minorEastAsia"/>
                <w:bCs/>
              </w:rPr>
            </w:pPr>
            <w:r>
              <w:rPr>
                <w:rFonts w:hint="eastAsia" w:eastAsiaTheme="minorEastAsia"/>
                <w:bCs/>
              </w:rPr>
              <w:t>伍火平</w:t>
            </w:r>
            <w:r>
              <w:rPr>
                <w:rFonts w:hint="eastAsia" w:eastAsiaTheme="minorEastAsia"/>
                <w:bCs/>
                <w:lang w:val="en-US"/>
              </w:rPr>
              <w:t xml:space="preserve"> 5355351</w:t>
            </w:r>
          </w:p>
        </w:tc>
        <w:tc>
          <w:tcPr>
            <w:tcW w:w="6652" w:type="dxa"/>
            <w:tcBorders>
              <w:tl2br w:val="nil"/>
              <w:tr2bl w:val="nil"/>
            </w:tcBorders>
            <w:shd w:val="clear" w:color="auto" w:fill="auto"/>
            <w:vAlign w:val="center"/>
          </w:tcPr>
          <w:p>
            <w:pPr>
              <w:pStyle w:val="23"/>
              <w:autoSpaceDE/>
              <w:autoSpaceDN/>
              <w:rPr>
                <w:rFonts w:eastAsiaTheme="minorEastAsia"/>
                <w:bCs/>
              </w:rPr>
            </w:pPr>
            <w:r>
              <w:rPr>
                <w:rFonts w:eastAsiaTheme="minorEastAsia"/>
                <w:bCs/>
              </w:rPr>
              <w:t>负责协调饮用水水源突发环境污染事件应急处理情况的新闻发布和对公众的宣传教育工作；由</w:t>
            </w:r>
            <w:r>
              <w:rPr>
                <w:rFonts w:hint="eastAsia" w:eastAsiaTheme="minorEastAsia"/>
                <w:bCs/>
              </w:rPr>
              <w:t>市</w:t>
            </w:r>
            <w:r>
              <w:rPr>
                <w:rFonts w:eastAsiaTheme="minorEastAsia"/>
                <w:bCs/>
              </w:rPr>
              <w:t>水环境应急指挥部指定新闻发言人通过媒体和舆论工具及时准确发布事件信息，安定民心，维护</w:t>
            </w:r>
            <w:r>
              <w:rPr>
                <w:rFonts w:hint="eastAsia" w:eastAsiaTheme="minorEastAsia"/>
                <w:bCs/>
              </w:rPr>
              <w:t>社会稳定。</w:t>
            </w:r>
          </w:p>
        </w:tc>
      </w:tr>
    </w:tbl>
    <w:p>
      <w:pPr>
        <w:pStyle w:val="24"/>
        <w:ind w:firstLine="0" w:firstLineChars="0"/>
        <w:rPr>
          <w:rFonts w:cs="Times New Roman"/>
          <w:b/>
          <w:bCs/>
          <w:lang w:val="en-US"/>
        </w:rPr>
        <w:sectPr>
          <w:pgSz w:w="16838" w:h="11906" w:orient="landscape"/>
          <w:pgMar w:top="1800" w:right="1440" w:bottom="1800" w:left="1440" w:header="1134" w:footer="992" w:gutter="0"/>
          <w:pgNumType w:fmt="numberInDash"/>
          <w:cols w:space="425" w:num="1"/>
          <w:docGrid w:type="lines" w:linePitch="312" w:charSpace="0"/>
        </w:sectPr>
      </w:pPr>
    </w:p>
    <w:p>
      <w:pPr>
        <w:pStyle w:val="3"/>
        <w:jc w:val="both"/>
        <w:rPr>
          <w:sz w:val="32"/>
          <w:szCs w:val="32"/>
        </w:rPr>
      </w:pPr>
      <w:bookmarkStart w:id="243" w:name="_Toc27542"/>
      <w:bookmarkStart w:id="244" w:name="_Toc72337766"/>
      <w:bookmarkStart w:id="245" w:name="_Toc18119"/>
      <w:r>
        <w:rPr>
          <w:rFonts w:hint="eastAsia"/>
          <w:sz w:val="32"/>
          <w:szCs w:val="32"/>
        </w:rPr>
        <w:t xml:space="preserve">附件 </w:t>
      </w:r>
      <w:r>
        <w:rPr>
          <w:rFonts w:hint="eastAsia"/>
          <w:sz w:val="32"/>
          <w:szCs w:val="32"/>
          <w:lang w:val="en-US"/>
        </w:rPr>
        <w:t>5</w:t>
      </w:r>
      <w:r>
        <w:rPr>
          <w:rFonts w:hint="eastAsia"/>
          <w:sz w:val="32"/>
          <w:szCs w:val="32"/>
        </w:rPr>
        <w:t xml:space="preserve"> 集中式饮用水水源地突发污染事件应急常用物资表</w:t>
      </w:r>
      <w:bookmarkEnd w:id="243"/>
      <w:bookmarkEnd w:id="244"/>
      <w:bookmarkEnd w:id="245"/>
    </w:p>
    <w:p>
      <w:pPr>
        <w:pStyle w:val="7"/>
        <w:spacing w:before="3"/>
        <w:rPr>
          <w:rFonts w:ascii="Microsoft JhengHei"/>
          <w:b/>
          <w:sz w:val="10"/>
        </w:rPr>
      </w:pPr>
    </w:p>
    <w:tbl>
      <w:tblPr>
        <w:tblStyle w:val="20"/>
        <w:tblW w:w="832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38"/>
        <w:gridCol w:w="4059"/>
        <w:gridCol w:w="373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2" w:hRule="atLeast"/>
        </w:trPr>
        <w:tc>
          <w:tcPr>
            <w:tcW w:w="538" w:type="dxa"/>
            <w:tcBorders>
              <w:tl2br w:val="nil"/>
              <w:tr2bl w:val="nil"/>
            </w:tcBorders>
            <w:vAlign w:val="center"/>
          </w:tcPr>
          <w:p>
            <w:pPr>
              <w:pStyle w:val="23"/>
              <w:autoSpaceDE/>
              <w:autoSpaceDN/>
              <w:rPr>
                <w:rFonts w:eastAsiaTheme="minorEastAsia"/>
                <w:bCs/>
              </w:rPr>
            </w:pPr>
            <w:r>
              <w:rPr>
                <w:rFonts w:hint="eastAsia" w:eastAsiaTheme="minorEastAsia"/>
                <w:bCs/>
              </w:rPr>
              <w:t>序号</w:t>
            </w:r>
          </w:p>
        </w:tc>
        <w:tc>
          <w:tcPr>
            <w:tcW w:w="4059" w:type="dxa"/>
            <w:tcBorders>
              <w:tl2br w:val="nil"/>
              <w:tr2bl w:val="nil"/>
            </w:tcBorders>
            <w:vAlign w:val="center"/>
          </w:tcPr>
          <w:p>
            <w:pPr>
              <w:pStyle w:val="23"/>
              <w:autoSpaceDE/>
              <w:autoSpaceDN/>
              <w:rPr>
                <w:rFonts w:eastAsiaTheme="minorEastAsia"/>
                <w:bCs/>
              </w:rPr>
            </w:pPr>
            <w:r>
              <w:rPr>
                <w:rFonts w:hint="eastAsia" w:eastAsiaTheme="minorEastAsia"/>
                <w:bCs/>
              </w:rPr>
              <w:t>类别</w:t>
            </w:r>
          </w:p>
        </w:tc>
        <w:tc>
          <w:tcPr>
            <w:tcW w:w="3732" w:type="dxa"/>
            <w:tcBorders>
              <w:tl2br w:val="nil"/>
              <w:tr2bl w:val="nil"/>
            </w:tcBorders>
            <w:vAlign w:val="center"/>
          </w:tcPr>
          <w:p>
            <w:pPr>
              <w:pStyle w:val="23"/>
              <w:autoSpaceDE/>
              <w:autoSpaceDN/>
              <w:rPr>
                <w:rFonts w:eastAsiaTheme="minorEastAsia"/>
                <w:bCs/>
              </w:rPr>
            </w:pPr>
            <w:r>
              <w:rPr>
                <w:rFonts w:hint="eastAsia" w:eastAsiaTheme="minorEastAsia"/>
                <w:bCs/>
              </w:rPr>
              <w:t>常用物质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1" w:hRule="atLeast"/>
        </w:trPr>
        <w:tc>
          <w:tcPr>
            <w:tcW w:w="538" w:type="dxa"/>
            <w:tcBorders>
              <w:tl2br w:val="nil"/>
              <w:tr2bl w:val="nil"/>
            </w:tcBorders>
            <w:vAlign w:val="center"/>
          </w:tcPr>
          <w:p>
            <w:pPr>
              <w:pStyle w:val="23"/>
              <w:autoSpaceDE/>
              <w:autoSpaceDN/>
              <w:rPr>
                <w:rFonts w:eastAsiaTheme="minorEastAsia"/>
                <w:bCs/>
              </w:rPr>
            </w:pPr>
            <w:r>
              <w:rPr>
                <w:rFonts w:eastAsiaTheme="minorEastAsia"/>
                <w:bCs/>
              </w:rPr>
              <w:t>1</w:t>
            </w:r>
          </w:p>
        </w:tc>
        <w:tc>
          <w:tcPr>
            <w:tcW w:w="4059" w:type="dxa"/>
            <w:tcBorders>
              <w:tl2br w:val="nil"/>
              <w:tr2bl w:val="nil"/>
            </w:tcBorders>
            <w:vAlign w:val="center"/>
          </w:tcPr>
          <w:p>
            <w:pPr>
              <w:pStyle w:val="23"/>
              <w:autoSpaceDE/>
              <w:autoSpaceDN/>
              <w:rPr>
                <w:rFonts w:eastAsiaTheme="minorEastAsia"/>
                <w:bCs/>
              </w:rPr>
            </w:pPr>
            <w:r>
              <w:rPr>
                <w:rFonts w:eastAsiaTheme="minorEastAsia"/>
                <w:bCs/>
              </w:rPr>
              <w:t>对水体内污染物进行打捞和拦截的物资、装备和设施</w:t>
            </w:r>
          </w:p>
        </w:tc>
        <w:tc>
          <w:tcPr>
            <w:tcW w:w="3732" w:type="dxa"/>
            <w:tcBorders>
              <w:tl2br w:val="nil"/>
              <w:tr2bl w:val="nil"/>
            </w:tcBorders>
            <w:vAlign w:val="center"/>
          </w:tcPr>
          <w:p>
            <w:pPr>
              <w:pStyle w:val="23"/>
              <w:autoSpaceDE/>
              <w:autoSpaceDN/>
              <w:rPr>
                <w:rFonts w:eastAsiaTheme="minorEastAsia"/>
                <w:bCs/>
              </w:rPr>
            </w:pPr>
            <w:r>
              <w:rPr>
                <w:rFonts w:eastAsiaTheme="minorEastAsia"/>
                <w:bCs/>
              </w:rPr>
              <w:t>救援打捞设备、油毡、围油栏、筑坝材料、溢出控制装备等。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0" w:hRule="atLeast"/>
        </w:trPr>
        <w:tc>
          <w:tcPr>
            <w:tcW w:w="538" w:type="dxa"/>
            <w:tcBorders>
              <w:tl2br w:val="nil"/>
              <w:tr2bl w:val="nil"/>
            </w:tcBorders>
            <w:vAlign w:val="center"/>
          </w:tcPr>
          <w:p>
            <w:pPr>
              <w:pStyle w:val="23"/>
              <w:autoSpaceDE/>
              <w:autoSpaceDN/>
              <w:rPr>
                <w:rFonts w:eastAsiaTheme="minorEastAsia"/>
                <w:bCs/>
              </w:rPr>
            </w:pPr>
            <w:r>
              <w:rPr>
                <w:rFonts w:eastAsiaTheme="minorEastAsia"/>
                <w:bCs/>
              </w:rPr>
              <w:t>2</w:t>
            </w:r>
          </w:p>
        </w:tc>
        <w:tc>
          <w:tcPr>
            <w:tcW w:w="4059" w:type="dxa"/>
            <w:tcBorders>
              <w:tl2br w:val="nil"/>
              <w:tr2bl w:val="nil"/>
            </w:tcBorders>
            <w:vAlign w:val="center"/>
          </w:tcPr>
          <w:p>
            <w:pPr>
              <w:pStyle w:val="23"/>
              <w:autoSpaceDE/>
              <w:autoSpaceDN/>
              <w:rPr>
                <w:rFonts w:eastAsiaTheme="minorEastAsia"/>
                <w:bCs/>
              </w:rPr>
            </w:pPr>
            <w:r>
              <w:rPr>
                <w:rFonts w:eastAsiaTheme="minorEastAsia"/>
                <w:bCs/>
              </w:rPr>
              <w:t>控制和消除污染物的物资、装备和设施</w:t>
            </w:r>
          </w:p>
        </w:tc>
        <w:tc>
          <w:tcPr>
            <w:tcW w:w="3732" w:type="dxa"/>
            <w:tcBorders>
              <w:tl2br w:val="nil"/>
              <w:tr2bl w:val="nil"/>
            </w:tcBorders>
            <w:vAlign w:val="center"/>
          </w:tcPr>
          <w:p>
            <w:pPr>
              <w:pStyle w:val="23"/>
              <w:autoSpaceDE/>
              <w:autoSpaceDN/>
              <w:rPr>
                <w:rFonts w:eastAsiaTheme="minorEastAsia"/>
                <w:bCs/>
              </w:rPr>
            </w:pPr>
            <w:r>
              <w:rPr>
                <w:rFonts w:eastAsiaTheme="minorEastAsia"/>
                <w:bCs/>
              </w:rPr>
              <w:t>中和剂、灭火剂、解毒剂、吸收剂等。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0" w:hRule="atLeast"/>
        </w:trPr>
        <w:tc>
          <w:tcPr>
            <w:tcW w:w="538" w:type="dxa"/>
            <w:tcBorders>
              <w:tl2br w:val="nil"/>
              <w:tr2bl w:val="nil"/>
            </w:tcBorders>
            <w:vAlign w:val="center"/>
          </w:tcPr>
          <w:p>
            <w:pPr>
              <w:pStyle w:val="23"/>
              <w:autoSpaceDE/>
              <w:autoSpaceDN/>
              <w:rPr>
                <w:rFonts w:eastAsiaTheme="minorEastAsia"/>
                <w:bCs/>
              </w:rPr>
            </w:pPr>
            <w:r>
              <w:rPr>
                <w:rFonts w:eastAsiaTheme="minorEastAsia"/>
                <w:bCs/>
              </w:rPr>
              <w:t>3</w:t>
            </w:r>
          </w:p>
        </w:tc>
        <w:tc>
          <w:tcPr>
            <w:tcW w:w="4059" w:type="dxa"/>
            <w:tcBorders>
              <w:tl2br w:val="nil"/>
              <w:tr2bl w:val="nil"/>
            </w:tcBorders>
            <w:vAlign w:val="center"/>
          </w:tcPr>
          <w:p>
            <w:pPr>
              <w:pStyle w:val="23"/>
              <w:autoSpaceDE/>
              <w:autoSpaceDN/>
              <w:rPr>
                <w:rFonts w:eastAsiaTheme="minorEastAsia"/>
                <w:bCs/>
              </w:rPr>
            </w:pPr>
            <w:r>
              <w:rPr>
                <w:rFonts w:eastAsiaTheme="minorEastAsia"/>
                <w:bCs/>
              </w:rPr>
              <w:t>移除和拦截移动源的装备和设施</w:t>
            </w:r>
          </w:p>
        </w:tc>
        <w:tc>
          <w:tcPr>
            <w:tcW w:w="3732" w:type="dxa"/>
            <w:tcBorders>
              <w:tl2br w:val="nil"/>
              <w:tr2bl w:val="nil"/>
            </w:tcBorders>
            <w:vAlign w:val="center"/>
          </w:tcPr>
          <w:p>
            <w:pPr>
              <w:pStyle w:val="23"/>
              <w:autoSpaceDE/>
              <w:autoSpaceDN/>
              <w:rPr>
                <w:rFonts w:eastAsiaTheme="minorEastAsia"/>
                <w:bCs/>
              </w:rPr>
            </w:pPr>
            <w:r>
              <w:rPr>
                <w:rFonts w:eastAsiaTheme="minorEastAsia"/>
                <w:bCs/>
              </w:rPr>
              <w:t>吊车、临时围堰、导流槽、应急池。</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538" w:type="dxa"/>
            <w:tcBorders>
              <w:tl2br w:val="nil"/>
              <w:tr2bl w:val="nil"/>
            </w:tcBorders>
            <w:vAlign w:val="center"/>
          </w:tcPr>
          <w:p>
            <w:pPr>
              <w:pStyle w:val="23"/>
              <w:autoSpaceDE/>
              <w:autoSpaceDN/>
              <w:rPr>
                <w:rFonts w:eastAsiaTheme="minorEastAsia"/>
                <w:bCs/>
              </w:rPr>
            </w:pPr>
            <w:r>
              <w:rPr>
                <w:rFonts w:eastAsiaTheme="minorEastAsia"/>
                <w:bCs/>
              </w:rPr>
              <w:t>4</w:t>
            </w:r>
          </w:p>
        </w:tc>
        <w:tc>
          <w:tcPr>
            <w:tcW w:w="4059" w:type="dxa"/>
            <w:tcBorders>
              <w:tl2br w:val="nil"/>
              <w:tr2bl w:val="nil"/>
            </w:tcBorders>
            <w:vAlign w:val="center"/>
          </w:tcPr>
          <w:p>
            <w:pPr>
              <w:pStyle w:val="23"/>
              <w:autoSpaceDE/>
              <w:autoSpaceDN/>
              <w:rPr>
                <w:rFonts w:eastAsiaTheme="minorEastAsia"/>
                <w:bCs/>
              </w:rPr>
            </w:pPr>
            <w:r>
              <w:rPr>
                <w:rFonts w:eastAsiaTheme="minorEastAsia"/>
                <w:bCs/>
              </w:rPr>
              <w:t>雨水口垃圾清运和拦截的装备和设施</w:t>
            </w:r>
          </w:p>
        </w:tc>
        <w:tc>
          <w:tcPr>
            <w:tcW w:w="3732" w:type="dxa"/>
            <w:tcBorders>
              <w:tl2br w:val="nil"/>
              <w:tr2bl w:val="nil"/>
            </w:tcBorders>
            <w:vAlign w:val="center"/>
          </w:tcPr>
          <w:p>
            <w:pPr>
              <w:pStyle w:val="23"/>
              <w:autoSpaceDE/>
              <w:autoSpaceDN/>
              <w:rPr>
                <w:rFonts w:eastAsiaTheme="minorEastAsia"/>
                <w:bCs/>
              </w:rPr>
            </w:pPr>
            <w:r>
              <w:rPr>
                <w:rFonts w:eastAsiaTheme="minorEastAsia"/>
                <w:bCs/>
              </w:rPr>
              <w:t>格栅、清运车、临时设置的导流槽等。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2" w:hRule="atLeast"/>
        </w:trPr>
        <w:tc>
          <w:tcPr>
            <w:tcW w:w="538" w:type="dxa"/>
            <w:tcBorders>
              <w:tl2br w:val="nil"/>
              <w:tr2bl w:val="nil"/>
            </w:tcBorders>
            <w:vAlign w:val="center"/>
          </w:tcPr>
          <w:p>
            <w:pPr>
              <w:pStyle w:val="23"/>
              <w:autoSpaceDE/>
              <w:autoSpaceDN/>
              <w:rPr>
                <w:rFonts w:eastAsiaTheme="minorEastAsia"/>
                <w:bCs/>
              </w:rPr>
            </w:pPr>
            <w:r>
              <w:rPr>
                <w:rFonts w:eastAsiaTheme="minorEastAsia"/>
                <w:bCs/>
              </w:rPr>
              <w:t>5</w:t>
            </w:r>
          </w:p>
        </w:tc>
        <w:tc>
          <w:tcPr>
            <w:tcW w:w="4059" w:type="dxa"/>
            <w:tcBorders>
              <w:tl2br w:val="nil"/>
              <w:tr2bl w:val="nil"/>
            </w:tcBorders>
            <w:vAlign w:val="center"/>
          </w:tcPr>
          <w:p>
            <w:pPr>
              <w:pStyle w:val="23"/>
              <w:autoSpaceDE/>
              <w:autoSpaceDN/>
              <w:rPr>
                <w:rFonts w:eastAsiaTheme="minorEastAsia"/>
                <w:bCs/>
              </w:rPr>
            </w:pPr>
            <w:r>
              <w:rPr>
                <w:rFonts w:eastAsiaTheme="minorEastAsia"/>
                <w:bCs/>
              </w:rPr>
              <w:t>针对水华灾害，消除有毒有害物质产生条件、清除藻类的物资、装备和设施</w:t>
            </w:r>
          </w:p>
        </w:tc>
        <w:tc>
          <w:tcPr>
            <w:tcW w:w="3732" w:type="dxa"/>
            <w:tcBorders>
              <w:tl2br w:val="nil"/>
              <w:tr2bl w:val="nil"/>
            </w:tcBorders>
            <w:vAlign w:val="center"/>
          </w:tcPr>
          <w:p>
            <w:pPr>
              <w:pStyle w:val="23"/>
              <w:autoSpaceDE/>
              <w:autoSpaceDN/>
              <w:rPr>
                <w:rFonts w:eastAsiaTheme="minorEastAsia"/>
                <w:bCs/>
              </w:rPr>
            </w:pPr>
            <w:r>
              <w:rPr>
                <w:rFonts w:eastAsiaTheme="minorEastAsia"/>
                <w:bCs/>
              </w:rPr>
              <w:t>增氧机、除草船等。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2" w:hRule="atLeast"/>
        </w:trPr>
        <w:tc>
          <w:tcPr>
            <w:tcW w:w="538" w:type="dxa"/>
            <w:tcBorders>
              <w:tl2br w:val="nil"/>
              <w:tr2bl w:val="nil"/>
            </w:tcBorders>
            <w:vAlign w:val="center"/>
          </w:tcPr>
          <w:p>
            <w:pPr>
              <w:pStyle w:val="23"/>
              <w:autoSpaceDE/>
              <w:autoSpaceDN/>
              <w:rPr>
                <w:rFonts w:eastAsiaTheme="minorEastAsia"/>
                <w:bCs/>
              </w:rPr>
            </w:pPr>
            <w:r>
              <w:rPr>
                <w:rFonts w:eastAsiaTheme="minorEastAsia"/>
                <w:bCs/>
              </w:rPr>
              <w:t>6</w:t>
            </w:r>
          </w:p>
        </w:tc>
        <w:tc>
          <w:tcPr>
            <w:tcW w:w="4059" w:type="dxa"/>
            <w:tcBorders>
              <w:tl2br w:val="nil"/>
              <w:tr2bl w:val="nil"/>
            </w:tcBorders>
            <w:vAlign w:val="center"/>
          </w:tcPr>
          <w:p>
            <w:pPr>
              <w:pStyle w:val="23"/>
              <w:autoSpaceDE/>
              <w:autoSpaceDN/>
              <w:rPr>
                <w:rFonts w:eastAsiaTheme="minorEastAsia"/>
                <w:bCs/>
              </w:rPr>
            </w:pPr>
            <w:r>
              <w:rPr>
                <w:rFonts w:eastAsiaTheme="minorEastAsia"/>
                <w:bCs/>
              </w:rPr>
              <w:t>对污染物进行拦截、导流、分流及降解的应急工程设施</w:t>
            </w:r>
          </w:p>
        </w:tc>
        <w:tc>
          <w:tcPr>
            <w:tcW w:w="3732" w:type="dxa"/>
            <w:tcBorders>
              <w:tl2br w:val="nil"/>
              <w:tr2bl w:val="nil"/>
            </w:tcBorders>
            <w:vAlign w:val="center"/>
          </w:tcPr>
          <w:p>
            <w:pPr>
              <w:pStyle w:val="23"/>
              <w:autoSpaceDE/>
              <w:autoSpaceDN/>
              <w:rPr>
                <w:rFonts w:eastAsiaTheme="minorEastAsia"/>
                <w:bCs/>
              </w:rPr>
            </w:pPr>
            <w:r>
              <w:rPr>
                <w:rFonts w:eastAsiaTheme="minorEastAsia"/>
                <w:bCs/>
              </w:rPr>
              <w:t>拦截坝、节制闸、导流渠、分流沟、前</w:t>
            </w:r>
          </w:p>
          <w:p>
            <w:pPr>
              <w:pStyle w:val="23"/>
              <w:autoSpaceDE/>
              <w:autoSpaceDN/>
              <w:rPr>
                <w:rFonts w:eastAsiaTheme="minorEastAsia"/>
                <w:bCs/>
              </w:rPr>
            </w:pPr>
            <w:r>
              <w:rPr>
                <w:rFonts w:eastAsiaTheme="minorEastAsia"/>
                <w:bCs/>
              </w:rPr>
              <w:t>置库等。</w:t>
            </w:r>
          </w:p>
        </w:tc>
      </w:tr>
    </w:tbl>
    <w:p>
      <w:pPr>
        <w:pStyle w:val="24"/>
        <w:ind w:firstLine="0" w:firstLineChars="0"/>
        <w:rPr>
          <w:rFonts w:cs="Times New Roman"/>
          <w:b/>
          <w:bCs/>
          <w:lang w:val="en-US"/>
        </w:rPr>
        <w:sectPr>
          <w:pgSz w:w="11906" w:h="16838"/>
          <w:pgMar w:top="1440" w:right="1800" w:bottom="1440" w:left="1800" w:header="1134" w:footer="992" w:gutter="0"/>
          <w:pgNumType w:fmt="numberInDash"/>
          <w:cols w:space="425" w:num="1"/>
          <w:docGrid w:type="lines" w:linePitch="312" w:charSpace="0"/>
        </w:sectPr>
      </w:pPr>
    </w:p>
    <w:p>
      <w:pPr>
        <w:pStyle w:val="3"/>
        <w:jc w:val="both"/>
        <w:rPr>
          <w:sz w:val="32"/>
          <w:szCs w:val="32"/>
        </w:rPr>
      </w:pPr>
      <w:bookmarkStart w:id="246" w:name="_Toc8127"/>
      <w:bookmarkStart w:id="247" w:name="_Toc72337767"/>
      <w:bookmarkStart w:id="248" w:name="_Toc8036"/>
      <w:r>
        <w:rPr>
          <w:rFonts w:hint="eastAsia"/>
          <w:sz w:val="32"/>
          <w:szCs w:val="32"/>
        </w:rPr>
        <w:t xml:space="preserve">附件 </w:t>
      </w:r>
      <w:r>
        <w:rPr>
          <w:rFonts w:hint="eastAsia"/>
          <w:sz w:val="32"/>
          <w:szCs w:val="32"/>
          <w:lang w:val="en-US"/>
        </w:rPr>
        <w:t>6</w:t>
      </w:r>
      <w:r>
        <w:rPr>
          <w:rFonts w:hint="eastAsia"/>
          <w:sz w:val="32"/>
          <w:szCs w:val="32"/>
        </w:rPr>
        <w:t xml:space="preserve"> 常见化学品引发水污染事故的简要处置方法</w:t>
      </w:r>
      <w:bookmarkEnd w:id="246"/>
      <w:bookmarkEnd w:id="247"/>
      <w:bookmarkEnd w:id="248"/>
    </w:p>
    <w:p>
      <w:pPr>
        <w:pStyle w:val="7"/>
        <w:spacing w:before="3"/>
        <w:rPr>
          <w:rFonts w:ascii="Microsoft JhengHei"/>
          <w:b/>
          <w:sz w:val="10"/>
        </w:rPr>
      </w:pPr>
    </w:p>
    <w:tbl>
      <w:tblPr>
        <w:tblStyle w:val="20"/>
        <w:tblW w:w="860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5"/>
        <w:gridCol w:w="867"/>
        <w:gridCol w:w="3896"/>
        <w:gridCol w:w="34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56" w:hRule="atLeast"/>
        </w:trPr>
        <w:tc>
          <w:tcPr>
            <w:tcW w:w="425" w:type="dxa"/>
            <w:tcBorders>
              <w:tl2br w:val="nil"/>
              <w:tr2bl w:val="nil"/>
            </w:tcBorders>
            <w:vAlign w:val="center"/>
          </w:tcPr>
          <w:p>
            <w:pPr>
              <w:pStyle w:val="23"/>
              <w:autoSpaceDE/>
              <w:autoSpaceDN/>
              <w:rPr>
                <w:rFonts w:eastAsiaTheme="minorEastAsia"/>
                <w:bCs/>
              </w:rPr>
            </w:pPr>
            <w:r>
              <w:rPr>
                <w:rFonts w:eastAsiaTheme="minorEastAsia"/>
                <w:bCs/>
              </w:rPr>
              <w:t>序号</w:t>
            </w:r>
          </w:p>
        </w:tc>
        <w:tc>
          <w:tcPr>
            <w:tcW w:w="867" w:type="dxa"/>
            <w:tcBorders>
              <w:tl2br w:val="nil"/>
              <w:tr2bl w:val="nil"/>
            </w:tcBorders>
            <w:vAlign w:val="center"/>
          </w:tcPr>
          <w:p>
            <w:pPr>
              <w:pStyle w:val="23"/>
              <w:autoSpaceDE/>
              <w:autoSpaceDN/>
              <w:rPr>
                <w:rFonts w:eastAsiaTheme="minorEastAsia"/>
                <w:bCs/>
              </w:rPr>
            </w:pPr>
            <w:r>
              <w:rPr>
                <w:rFonts w:eastAsiaTheme="minorEastAsia"/>
                <w:bCs/>
              </w:rPr>
              <w:t>污染物类别</w:t>
            </w:r>
          </w:p>
        </w:tc>
        <w:tc>
          <w:tcPr>
            <w:tcW w:w="3896" w:type="dxa"/>
            <w:tcBorders>
              <w:tl2br w:val="nil"/>
              <w:tr2bl w:val="nil"/>
            </w:tcBorders>
            <w:vAlign w:val="center"/>
          </w:tcPr>
          <w:p>
            <w:pPr>
              <w:pStyle w:val="23"/>
              <w:autoSpaceDE/>
              <w:autoSpaceDN/>
              <w:rPr>
                <w:rFonts w:eastAsiaTheme="minorEastAsia"/>
                <w:bCs/>
              </w:rPr>
            </w:pPr>
            <w:r>
              <w:rPr>
                <w:rFonts w:eastAsiaTheme="minorEastAsia"/>
                <w:bCs/>
              </w:rPr>
              <w:t>代表物质</w:t>
            </w:r>
          </w:p>
        </w:tc>
        <w:tc>
          <w:tcPr>
            <w:tcW w:w="3415" w:type="dxa"/>
            <w:tcBorders>
              <w:tl2br w:val="nil"/>
              <w:tr2bl w:val="nil"/>
            </w:tcBorders>
            <w:vAlign w:val="center"/>
          </w:tcPr>
          <w:p>
            <w:pPr>
              <w:pStyle w:val="23"/>
              <w:autoSpaceDE/>
              <w:autoSpaceDN/>
              <w:rPr>
                <w:rFonts w:eastAsiaTheme="minorEastAsia"/>
                <w:bCs/>
              </w:rPr>
            </w:pPr>
            <w:r>
              <w:rPr>
                <w:rFonts w:eastAsiaTheme="minorEastAsia"/>
                <w:bCs/>
              </w:rPr>
              <w:t>应急处置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899" w:hRule="atLeast"/>
        </w:trPr>
        <w:tc>
          <w:tcPr>
            <w:tcW w:w="425" w:type="dxa"/>
            <w:tcBorders>
              <w:tl2br w:val="nil"/>
              <w:tr2bl w:val="nil"/>
            </w:tcBorders>
            <w:vAlign w:val="center"/>
          </w:tcPr>
          <w:p>
            <w:pPr>
              <w:pStyle w:val="23"/>
              <w:autoSpaceDE/>
              <w:autoSpaceDN/>
              <w:rPr>
                <w:rFonts w:eastAsiaTheme="minorEastAsia"/>
                <w:bCs/>
              </w:rPr>
            </w:pPr>
            <w:r>
              <w:rPr>
                <w:rFonts w:eastAsiaTheme="minorEastAsia"/>
                <w:bCs/>
              </w:rPr>
              <w:t>1</w:t>
            </w:r>
          </w:p>
        </w:tc>
        <w:tc>
          <w:tcPr>
            <w:tcW w:w="867" w:type="dxa"/>
            <w:tcBorders>
              <w:tl2br w:val="nil"/>
              <w:tr2bl w:val="nil"/>
            </w:tcBorders>
            <w:vAlign w:val="center"/>
          </w:tcPr>
          <w:p>
            <w:pPr>
              <w:pStyle w:val="23"/>
              <w:autoSpaceDE/>
              <w:autoSpaceDN/>
              <w:rPr>
                <w:rFonts w:eastAsiaTheme="minorEastAsia"/>
                <w:bCs/>
              </w:rPr>
            </w:pPr>
            <w:r>
              <w:rPr>
                <w:rFonts w:eastAsiaTheme="minorEastAsia"/>
                <w:bCs/>
              </w:rPr>
              <w:t>重金属类</w:t>
            </w:r>
          </w:p>
        </w:tc>
        <w:tc>
          <w:tcPr>
            <w:tcW w:w="3896" w:type="dxa"/>
            <w:tcBorders>
              <w:tl2br w:val="nil"/>
              <w:tr2bl w:val="nil"/>
            </w:tcBorders>
            <w:vAlign w:val="center"/>
          </w:tcPr>
          <w:p>
            <w:pPr>
              <w:pStyle w:val="23"/>
              <w:autoSpaceDE/>
              <w:autoSpaceDN/>
              <w:rPr>
                <w:rFonts w:eastAsiaTheme="minorEastAsia"/>
                <w:bCs/>
              </w:rPr>
            </w:pPr>
            <w:r>
              <w:rPr>
                <w:rFonts w:eastAsiaTheme="minorEastAsia"/>
                <w:bCs/>
              </w:rPr>
              <w:t>代表物质有汞及汞盐、铅盐、锡盐类、铬盐等。汞为液体金属</w:t>
            </w:r>
            <w:r>
              <w:rPr>
                <w:rFonts w:hint="eastAsia" w:eastAsiaTheme="minorEastAsia"/>
                <w:bCs/>
              </w:rPr>
              <w:t>，</w:t>
            </w:r>
            <w:r>
              <w:rPr>
                <w:rFonts w:eastAsiaTheme="minorEastAsia"/>
                <w:bCs/>
              </w:rPr>
              <w:t>其余均为结晶盐类</w:t>
            </w:r>
            <w:r>
              <w:rPr>
                <w:rFonts w:hint="eastAsia" w:eastAsiaTheme="minorEastAsia"/>
                <w:bCs/>
              </w:rPr>
              <w:t>，</w:t>
            </w:r>
            <w:r>
              <w:rPr>
                <w:rFonts w:eastAsiaTheme="minorEastAsia"/>
                <w:bCs/>
              </w:rPr>
              <w:t>铬盐和铅往往有鲜亮的颜色。该类物质多数具有较强毒性</w:t>
            </w:r>
            <w:r>
              <w:rPr>
                <w:rFonts w:hint="eastAsia" w:eastAsiaTheme="minorEastAsia"/>
                <w:bCs/>
              </w:rPr>
              <w:t>，</w:t>
            </w:r>
            <w:r>
              <w:rPr>
                <w:rFonts w:eastAsiaTheme="minorEastAsia"/>
                <w:bCs/>
              </w:rPr>
              <w:t>在自然环境中不降解</w:t>
            </w:r>
            <w:r>
              <w:rPr>
                <w:rFonts w:hint="eastAsia" w:eastAsiaTheme="minorEastAsia"/>
                <w:bCs/>
              </w:rPr>
              <w:t>，</w:t>
            </w:r>
            <w:r>
              <w:rPr>
                <w:rFonts w:eastAsiaTheme="minorEastAsia"/>
                <w:bCs/>
              </w:rPr>
              <w:t>并能随食物链逐渐富集</w:t>
            </w:r>
            <w:r>
              <w:rPr>
                <w:rFonts w:hint="eastAsia" w:eastAsiaTheme="minorEastAsia"/>
                <w:bCs/>
              </w:rPr>
              <w:t>，</w:t>
            </w:r>
            <w:r>
              <w:rPr>
                <w:rFonts w:eastAsiaTheme="minorEastAsia"/>
                <w:bCs/>
              </w:rPr>
              <w:t>形成急性或蓄积类水污染事故。</w:t>
            </w:r>
          </w:p>
        </w:tc>
        <w:tc>
          <w:tcPr>
            <w:tcW w:w="3415" w:type="dxa"/>
            <w:tcBorders>
              <w:tl2br w:val="nil"/>
              <w:tr2bl w:val="nil"/>
            </w:tcBorders>
            <w:vAlign w:val="center"/>
          </w:tcPr>
          <w:p>
            <w:pPr>
              <w:pStyle w:val="23"/>
              <w:autoSpaceDE/>
              <w:autoSpaceDN/>
              <w:rPr>
                <w:rFonts w:eastAsiaTheme="minorEastAsia"/>
                <w:bCs/>
              </w:rPr>
            </w:pPr>
            <w:r>
              <w:rPr>
                <w:rFonts w:eastAsiaTheme="minorEastAsia"/>
                <w:bCs/>
              </w:rPr>
              <w:t>关闭闸门或筑坝围隔污染区</w:t>
            </w:r>
            <w:r>
              <w:rPr>
                <w:rFonts w:hint="eastAsia" w:eastAsiaTheme="minorEastAsia"/>
                <w:bCs/>
              </w:rPr>
              <w:t>，</w:t>
            </w:r>
            <w:r>
              <w:rPr>
                <w:rFonts w:eastAsiaTheme="minorEastAsia"/>
                <w:bCs/>
              </w:rPr>
              <w:t>在污染区投加生石灰沉淀重金属离子</w:t>
            </w:r>
            <w:r>
              <w:rPr>
                <w:rFonts w:hint="eastAsia" w:eastAsiaTheme="minorEastAsia"/>
                <w:bCs/>
              </w:rPr>
              <w:t>，</w:t>
            </w:r>
            <w:r>
              <w:rPr>
                <w:rFonts w:eastAsiaTheme="minorEastAsia"/>
                <w:bCs/>
              </w:rPr>
              <w:t>排干上清液后将底质移除到安全地方水泥固化后填埋。汞泄漏后应急人员应佩戴防护用具</w:t>
            </w:r>
            <w:r>
              <w:rPr>
                <w:rFonts w:hint="eastAsia" w:eastAsiaTheme="minorEastAsia"/>
                <w:bCs/>
              </w:rPr>
              <w:t>，</w:t>
            </w:r>
            <w:r>
              <w:rPr>
                <w:rFonts w:eastAsiaTheme="minorEastAsia"/>
                <w:bCs/>
              </w:rPr>
              <w:t>尽量将泄漏汞收集到安全地方处理</w:t>
            </w:r>
            <w:r>
              <w:rPr>
                <w:rFonts w:hint="eastAsia" w:eastAsiaTheme="minorEastAsia"/>
                <w:bCs/>
              </w:rPr>
              <w:t>，</w:t>
            </w:r>
            <w:r>
              <w:rPr>
                <w:rFonts w:eastAsiaTheme="minorEastAsia"/>
                <w:bCs/>
              </w:rPr>
              <w:t>无法收集的现场用硫磺粉覆盖处理。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892" w:hRule="atLeast"/>
        </w:trPr>
        <w:tc>
          <w:tcPr>
            <w:tcW w:w="425" w:type="dxa"/>
            <w:tcBorders>
              <w:tl2br w:val="nil"/>
              <w:tr2bl w:val="nil"/>
            </w:tcBorders>
            <w:vAlign w:val="center"/>
          </w:tcPr>
          <w:p>
            <w:pPr>
              <w:pStyle w:val="23"/>
              <w:autoSpaceDE/>
              <w:autoSpaceDN/>
              <w:rPr>
                <w:rFonts w:eastAsiaTheme="minorEastAsia"/>
                <w:bCs/>
              </w:rPr>
            </w:pPr>
            <w:r>
              <w:rPr>
                <w:rFonts w:eastAsiaTheme="minorEastAsia"/>
                <w:bCs/>
              </w:rPr>
              <w:t>2</w:t>
            </w:r>
          </w:p>
        </w:tc>
        <w:tc>
          <w:tcPr>
            <w:tcW w:w="867" w:type="dxa"/>
            <w:tcBorders>
              <w:tl2br w:val="nil"/>
              <w:tr2bl w:val="nil"/>
            </w:tcBorders>
            <w:vAlign w:val="center"/>
          </w:tcPr>
          <w:p>
            <w:pPr>
              <w:pStyle w:val="23"/>
              <w:autoSpaceDE/>
              <w:autoSpaceDN/>
              <w:rPr>
                <w:rFonts w:eastAsiaTheme="minorEastAsia"/>
                <w:bCs/>
              </w:rPr>
            </w:pPr>
            <w:r>
              <w:rPr>
                <w:rFonts w:eastAsiaTheme="minorEastAsia"/>
                <w:bCs/>
              </w:rPr>
              <w:t>氰化物</w:t>
            </w:r>
          </w:p>
        </w:tc>
        <w:tc>
          <w:tcPr>
            <w:tcW w:w="3896" w:type="dxa"/>
            <w:tcBorders>
              <w:tl2br w:val="nil"/>
              <w:tr2bl w:val="nil"/>
            </w:tcBorders>
            <w:vAlign w:val="center"/>
          </w:tcPr>
          <w:p>
            <w:pPr>
              <w:pStyle w:val="23"/>
              <w:autoSpaceDE/>
              <w:autoSpaceDN/>
              <w:rPr>
                <w:rFonts w:eastAsiaTheme="minorEastAsia"/>
                <w:bCs/>
              </w:rPr>
            </w:pPr>
            <w:r>
              <w:rPr>
                <w:rFonts w:eastAsiaTheme="minorEastAsia"/>
                <w:bCs/>
              </w:rPr>
              <w:t>代表物质有氰化钾、氰化钠和氰化氢的水溶液。氰化钾、氰化钠为白色结晶粉末</w:t>
            </w:r>
            <w:r>
              <w:rPr>
                <w:rFonts w:hint="eastAsia" w:eastAsiaTheme="minorEastAsia"/>
                <w:bCs/>
              </w:rPr>
              <w:t>，</w:t>
            </w:r>
            <w:r>
              <w:rPr>
                <w:rFonts w:eastAsiaTheme="minorEastAsia"/>
                <w:bCs/>
              </w:rPr>
              <w:t>易潮解</w:t>
            </w:r>
            <w:r>
              <w:rPr>
                <w:rFonts w:hint="eastAsia" w:eastAsiaTheme="minorEastAsia"/>
                <w:bCs/>
              </w:rPr>
              <w:t>，</w:t>
            </w:r>
            <w:r>
              <w:rPr>
                <w:rFonts w:eastAsiaTheme="minorEastAsia"/>
                <w:bCs/>
              </w:rPr>
              <w:t>易溶于水</w:t>
            </w:r>
            <w:r>
              <w:rPr>
                <w:rFonts w:hint="eastAsia" w:eastAsiaTheme="minorEastAsia"/>
                <w:bCs/>
              </w:rPr>
              <w:t>，</w:t>
            </w:r>
            <w:r>
              <w:rPr>
                <w:rFonts w:eastAsiaTheme="minorEastAsia"/>
                <w:bCs/>
              </w:rPr>
              <w:t>用于冶金和电镀行业</w:t>
            </w:r>
            <w:r>
              <w:rPr>
                <w:rFonts w:hint="eastAsia" w:eastAsiaTheme="minorEastAsia"/>
                <w:bCs/>
              </w:rPr>
              <w:t>，</w:t>
            </w:r>
            <w:r>
              <w:rPr>
                <w:rFonts w:eastAsiaTheme="minorEastAsia"/>
                <w:bCs/>
              </w:rPr>
              <w:t>常以水溶液罐车运输。氰化氢常温下为液体易挥发</w:t>
            </w:r>
            <w:r>
              <w:rPr>
                <w:rFonts w:hint="eastAsia" w:eastAsiaTheme="minorEastAsia"/>
                <w:bCs/>
              </w:rPr>
              <w:t>，</w:t>
            </w:r>
            <w:r>
              <w:rPr>
                <w:rFonts w:eastAsiaTheme="minorEastAsia"/>
                <w:bCs/>
              </w:rPr>
              <w:t>有苦杏仁味。该类物质呈现剧毒</w:t>
            </w:r>
            <w:r>
              <w:rPr>
                <w:rFonts w:hint="eastAsia" w:eastAsiaTheme="minorEastAsia"/>
                <w:bCs/>
              </w:rPr>
              <w:t>，</w:t>
            </w:r>
            <w:r>
              <w:rPr>
                <w:rFonts w:eastAsiaTheme="minorEastAsia"/>
                <w:bCs/>
              </w:rPr>
              <w:t>能抑制呼吸酶</w:t>
            </w:r>
            <w:r>
              <w:rPr>
                <w:rFonts w:hint="eastAsia" w:eastAsiaTheme="minorEastAsia"/>
                <w:bCs/>
              </w:rPr>
              <w:t>，</w:t>
            </w:r>
            <w:r>
              <w:rPr>
                <w:rFonts w:eastAsiaTheme="minorEastAsia"/>
                <w:bCs/>
              </w:rPr>
              <w:t>对底栖动物、鱼类、两栖动物、哺乳动物等均呈高毒。</w:t>
            </w:r>
          </w:p>
        </w:tc>
        <w:tc>
          <w:tcPr>
            <w:tcW w:w="3415" w:type="dxa"/>
            <w:tcBorders>
              <w:tl2br w:val="nil"/>
              <w:tr2bl w:val="nil"/>
            </w:tcBorders>
            <w:vAlign w:val="center"/>
          </w:tcPr>
          <w:p>
            <w:pPr>
              <w:pStyle w:val="23"/>
              <w:autoSpaceDE/>
              <w:autoSpaceDN/>
              <w:rPr>
                <w:rFonts w:eastAsiaTheme="minorEastAsia"/>
                <w:bCs/>
              </w:rPr>
            </w:pPr>
            <w:r>
              <w:rPr>
                <w:rFonts w:eastAsiaTheme="minorEastAsia"/>
                <w:bCs/>
              </w:rPr>
              <w:t>应急处置人员须</w:t>
            </w:r>
            <w:r>
              <w:rPr>
                <w:rFonts w:hint="eastAsia" w:eastAsiaTheme="minorEastAsia"/>
                <w:bCs/>
              </w:rPr>
              <w:t>佩戴</w:t>
            </w:r>
            <w:r>
              <w:rPr>
                <w:rFonts w:eastAsiaTheme="minorEastAsia"/>
                <w:bCs/>
              </w:rPr>
              <w:t>全身防护用具</w:t>
            </w:r>
            <w:r>
              <w:rPr>
                <w:rFonts w:hint="eastAsia" w:eastAsiaTheme="minorEastAsia"/>
                <w:bCs/>
              </w:rPr>
              <w:t>，</w:t>
            </w:r>
            <w:r>
              <w:rPr>
                <w:rFonts w:eastAsiaTheme="minorEastAsia"/>
                <w:bCs/>
              </w:rPr>
              <w:t>尽可能围隔污染区</w:t>
            </w:r>
            <w:r>
              <w:rPr>
                <w:rFonts w:hint="eastAsia" w:eastAsiaTheme="minorEastAsia"/>
                <w:bCs/>
              </w:rPr>
              <w:t>，</w:t>
            </w:r>
            <w:r>
              <w:rPr>
                <w:rFonts w:eastAsiaTheme="minorEastAsia"/>
                <w:bCs/>
              </w:rPr>
              <w:t>在污染区加过量漂白粉处置</w:t>
            </w:r>
            <w:r>
              <w:rPr>
                <w:rFonts w:hint="eastAsia" w:eastAsiaTheme="minorEastAsia"/>
                <w:bCs/>
              </w:rPr>
              <w:t>，</w:t>
            </w:r>
            <w:r>
              <w:rPr>
                <w:rFonts w:eastAsiaTheme="minorEastAsia"/>
                <w:bCs/>
              </w:rPr>
              <w:t>一般24小时可氧化完全。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624" w:hRule="atLeast"/>
        </w:trPr>
        <w:tc>
          <w:tcPr>
            <w:tcW w:w="425" w:type="dxa"/>
            <w:tcBorders>
              <w:tl2br w:val="nil"/>
              <w:tr2bl w:val="nil"/>
            </w:tcBorders>
            <w:vAlign w:val="center"/>
          </w:tcPr>
          <w:p>
            <w:pPr>
              <w:pStyle w:val="23"/>
              <w:autoSpaceDE/>
              <w:autoSpaceDN/>
              <w:rPr>
                <w:rFonts w:eastAsiaTheme="minorEastAsia"/>
                <w:bCs/>
              </w:rPr>
            </w:pPr>
            <w:r>
              <w:rPr>
                <w:rFonts w:eastAsiaTheme="minorEastAsia"/>
                <w:bCs/>
              </w:rPr>
              <w:t>3</w:t>
            </w:r>
          </w:p>
        </w:tc>
        <w:tc>
          <w:tcPr>
            <w:tcW w:w="867" w:type="dxa"/>
            <w:tcBorders>
              <w:tl2br w:val="nil"/>
              <w:tr2bl w:val="nil"/>
            </w:tcBorders>
            <w:vAlign w:val="center"/>
          </w:tcPr>
          <w:p>
            <w:pPr>
              <w:pStyle w:val="23"/>
              <w:autoSpaceDE/>
              <w:autoSpaceDN/>
              <w:rPr>
                <w:rFonts w:eastAsiaTheme="minorEastAsia"/>
                <w:bCs/>
              </w:rPr>
            </w:pPr>
            <w:r>
              <w:rPr>
                <w:rFonts w:eastAsiaTheme="minorEastAsia"/>
                <w:bCs/>
              </w:rPr>
              <w:t>氟化物</w:t>
            </w:r>
          </w:p>
        </w:tc>
        <w:tc>
          <w:tcPr>
            <w:tcW w:w="3896" w:type="dxa"/>
            <w:tcBorders>
              <w:tl2br w:val="nil"/>
              <w:tr2bl w:val="nil"/>
            </w:tcBorders>
            <w:vAlign w:val="center"/>
          </w:tcPr>
          <w:p>
            <w:pPr>
              <w:pStyle w:val="23"/>
              <w:autoSpaceDE/>
              <w:autoSpaceDN/>
              <w:rPr>
                <w:rFonts w:eastAsiaTheme="minorEastAsia"/>
                <w:bCs/>
              </w:rPr>
            </w:pPr>
            <w:r>
              <w:rPr>
                <w:rFonts w:eastAsiaTheme="minorEastAsia"/>
                <w:bCs/>
              </w:rPr>
              <w:t>代表物质有氟化钠、氢氟酸等。氟化钠为白色粉末</w:t>
            </w:r>
            <w:r>
              <w:rPr>
                <w:rFonts w:hint="eastAsia" w:eastAsiaTheme="minorEastAsia"/>
                <w:bCs/>
              </w:rPr>
              <w:t>，</w:t>
            </w:r>
            <w:r>
              <w:rPr>
                <w:rFonts w:eastAsiaTheme="minorEastAsia"/>
                <w:bCs/>
              </w:rPr>
              <w:t>无味。氢氟酸为无色有刺激臭味的液体。该类物质易溶于水</w:t>
            </w:r>
            <w:r>
              <w:rPr>
                <w:rFonts w:hint="eastAsia" w:eastAsiaTheme="minorEastAsia"/>
                <w:bCs/>
              </w:rPr>
              <w:t>，</w:t>
            </w:r>
            <w:r>
              <w:rPr>
                <w:rFonts w:eastAsiaTheme="minorEastAsia"/>
                <w:bCs/>
              </w:rPr>
              <w:t>高毒</w:t>
            </w:r>
            <w:r>
              <w:rPr>
                <w:rFonts w:hint="eastAsia" w:eastAsiaTheme="minorEastAsia"/>
                <w:bCs/>
              </w:rPr>
              <w:t>，</w:t>
            </w:r>
            <w:r>
              <w:rPr>
                <w:rFonts w:eastAsiaTheme="minorEastAsia"/>
                <w:bCs/>
              </w:rPr>
              <w:t>并且容易在酸性环境中挥发氟化氢气体毒害呼吸系统。在自然环境中容易和金属离子形成络合物而降低毒性。</w:t>
            </w:r>
          </w:p>
        </w:tc>
        <w:tc>
          <w:tcPr>
            <w:tcW w:w="3415" w:type="dxa"/>
            <w:tcBorders>
              <w:tl2br w:val="nil"/>
              <w:tr2bl w:val="nil"/>
            </w:tcBorders>
            <w:vAlign w:val="center"/>
          </w:tcPr>
          <w:p>
            <w:pPr>
              <w:pStyle w:val="23"/>
              <w:autoSpaceDE/>
              <w:autoSpaceDN/>
              <w:rPr>
                <w:rFonts w:eastAsiaTheme="minorEastAsia"/>
                <w:bCs/>
              </w:rPr>
            </w:pPr>
            <w:r>
              <w:rPr>
                <w:rFonts w:eastAsiaTheme="minorEastAsia"/>
                <w:bCs/>
              </w:rPr>
              <w:t>关闭闸门或筑坝围隔污染区</w:t>
            </w:r>
            <w:r>
              <w:rPr>
                <w:rFonts w:hint="eastAsia" w:eastAsiaTheme="minorEastAsia"/>
                <w:bCs/>
              </w:rPr>
              <w:t>，</w:t>
            </w:r>
            <w:r>
              <w:rPr>
                <w:rFonts w:eastAsiaTheme="minorEastAsia"/>
                <w:bCs/>
              </w:rPr>
              <w:t>应急处置人员须带全身防护用具。在污染水体中</w:t>
            </w:r>
            <w:r>
              <w:rPr>
                <w:rFonts w:hint="eastAsia" w:eastAsiaTheme="minorEastAsia"/>
                <w:bCs/>
              </w:rPr>
              <w:t>加入</w:t>
            </w:r>
            <w:r>
              <w:rPr>
                <w:rFonts w:eastAsiaTheme="minorEastAsia"/>
                <w:bCs/>
              </w:rPr>
              <w:t>过量生石灰沉淀氟离子</w:t>
            </w:r>
            <w:r>
              <w:rPr>
                <w:rFonts w:hint="eastAsia" w:eastAsiaTheme="minorEastAsia"/>
                <w:bCs/>
              </w:rPr>
              <w:t>，</w:t>
            </w:r>
            <w:r>
              <w:rPr>
                <w:rFonts w:eastAsiaTheme="minorEastAsia"/>
                <w:bCs/>
              </w:rPr>
              <w:t>并投加明矾加快沉淀速度。沉淀完全后将上清液排放</w:t>
            </w:r>
            <w:r>
              <w:rPr>
                <w:rFonts w:hint="eastAsia" w:eastAsiaTheme="minorEastAsia"/>
                <w:bCs/>
              </w:rPr>
              <w:t>，</w:t>
            </w:r>
            <w:r>
              <w:rPr>
                <w:rFonts w:eastAsiaTheme="minorEastAsia"/>
                <w:bCs/>
              </w:rPr>
              <w:t>铲除底质</w:t>
            </w:r>
            <w:r>
              <w:rPr>
                <w:rFonts w:hint="eastAsia" w:eastAsiaTheme="minorEastAsia"/>
                <w:bCs/>
              </w:rPr>
              <w:t>，</w:t>
            </w:r>
            <w:r>
              <w:rPr>
                <w:rFonts w:eastAsiaTheme="minorEastAsia"/>
                <w:bCs/>
              </w:rPr>
              <w:t>并转移到安全地方处置。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624" w:hRule="atLeast"/>
        </w:trPr>
        <w:tc>
          <w:tcPr>
            <w:tcW w:w="425" w:type="dxa"/>
            <w:tcBorders>
              <w:tl2br w:val="nil"/>
              <w:tr2bl w:val="nil"/>
            </w:tcBorders>
            <w:vAlign w:val="center"/>
          </w:tcPr>
          <w:p>
            <w:pPr>
              <w:pStyle w:val="23"/>
              <w:autoSpaceDE/>
              <w:autoSpaceDN/>
              <w:rPr>
                <w:rFonts w:eastAsiaTheme="minorEastAsia"/>
                <w:bCs/>
              </w:rPr>
            </w:pPr>
            <w:r>
              <w:rPr>
                <w:rFonts w:eastAsiaTheme="minorEastAsia"/>
                <w:bCs/>
              </w:rPr>
              <w:t>4</w:t>
            </w:r>
          </w:p>
        </w:tc>
        <w:tc>
          <w:tcPr>
            <w:tcW w:w="867" w:type="dxa"/>
            <w:tcBorders>
              <w:tl2br w:val="nil"/>
              <w:tr2bl w:val="nil"/>
            </w:tcBorders>
            <w:vAlign w:val="center"/>
          </w:tcPr>
          <w:p>
            <w:pPr>
              <w:pStyle w:val="23"/>
              <w:autoSpaceDE/>
              <w:autoSpaceDN/>
              <w:rPr>
                <w:rFonts w:eastAsiaTheme="minorEastAsia"/>
                <w:bCs/>
              </w:rPr>
            </w:pPr>
            <w:r>
              <w:rPr>
                <w:rFonts w:eastAsiaTheme="minorEastAsia"/>
                <w:bCs/>
              </w:rPr>
              <w:t>金属酸酐</w:t>
            </w:r>
          </w:p>
        </w:tc>
        <w:tc>
          <w:tcPr>
            <w:tcW w:w="3896" w:type="dxa"/>
            <w:tcBorders>
              <w:tl2br w:val="nil"/>
              <w:tr2bl w:val="nil"/>
            </w:tcBorders>
            <w:vAlign w:val="center"/>
          </w:tcPr>
          <w:p>
            <w:pPr>
              <w:pStyle w:val="23"/>
              <w:autoSpaceDE/>
              <w:autoSpaceDN/>
              <w:rPr>
                <w:rFonts w:eastAsiaTheme="minorEastAsia"/>
                <w:bCs/>
              </w:rPr>
            </w:pPr>
            <w:r>
              <w:rPr>
                <w:rFonts w:eastAsiaTheme="minorEastAsia"/>
                <w:bCs/>
              </w:rPr>
              <w:t>代表物质有砒霜（三氧化二砷）和铬酸酐（三氧化铬）。砒霜为无色无味白色粉末</w:t>
            </w:r>
            <w:r>
              <w:rPr>
                <w:rFonts w:hint="eastAsia" w:eastAsiaTheme="minorEastAsia"/>
                <w:bCs/>
              </w:rPr>
              <w:t>，</w:t>
            </w:r>
            <w:r>
              <w:rPr>
                <w:rFonts w:eastAsiaTheme="minorEastAsia"/>
                <w:bCs/>
              </w:rPr>
              <w:t>微溶于水。铬酸矸为紫红色斜方晶体</w:t>
            </w:r>
            <w:r>
              <w:rPr>
                <w:rFonts w:hint="eastAsia" w:eastAsiaTheme="minorEastAsia"/>
                <w:bCs/>
              </w:rPr>
              <w:t>，</w:t>
            </w:r>
            <w:r>
              <w:rPr>
                <w:rFonts w:eastAsiaTheme="minorEastAsia"/>
                <w:bCs/>
              </w:rPr>
              <w:t>易潮解。两种物质均在水中有一定的溶解度</w:t>
            </w:r>
            <w:r>
              <w:rPr>
                <w:rFonts w:hint="eastAsia" w:eastAsiaTheme="minorEastAsia"/>
                <w:bCs/>
              </w:rPr>
              <w:t>，</w:t>
            </w:r>
            <w:r>
              <w:rPr>
                <w:rFonts w:eastAsiaTheme="minorEastAsia"/>
                <w:bCs/>
              </w:rPr>
              <w:t>呈现高毒性</w:t>
            </w:r>
            <w:r>
              <w:rPr>
                <w:rFonts w:hint="eastAsia" w:eastAsiaTheme="minorEastAsia"/>
                <w:bCs/>
              </w:rPr>
              <w:t>，</w:t>
            </w:r>
            <w:r>
              <w:rPr>
                <w:rFonts w:eastAsiaTheme="minorEastAsia"/>
                <w:bCs/>
              </w:rPr>
              <w:t>可毒害呼吸系统、神经系统和循环系统</w:t>
            </w:r>
            <w:r>
              <w:rPr>
                <w:rFonts w:hint="eastAsia" w:eastAsiaTheme="minorEastAsia"/>
                <w:bCs/>
              </w:rPr>
              <w:t>，</w:t>
            </w:r>
            <w:r>
              <w:rPr>
                <w:rFonts w:eastAsiaTheme="minorEastAsia"/>
                <w:bCs/>
              </w:rPr>
              <w:t>并能在动物体内可以富集</w:t>
            </w:r>
            <w:r>
              <w:rPr>
                <w:rFonts w:hint="eastAsia" w:eastAsiaTheme="minorEastAsia"/>
                <w:bCs/>
              </w:rPr>
              <w:t>，</w:t>
            </w:r>
            <w:r>
              <w:rPr>
                <w:rFonts w:eastAsiaTheme="minorEastAsia"/>
                <w:bCs/>
              </w:rPr>
              <w:t>造成二次中毒。</w:t>
            </w:r>
          </w:p>
        </w:tc>
        <w:tc>
          <w:tcPr>
            <w:tcW w:w="3415" w:type="dxa"/>
            <w:tcBorders>
              <w:tl2br w:val="nil"/>
              <w:tr2bl w:val="nil"/>
            </w:tcBorders>
            <w:vAlign w:val="center"/>
          </w:tcPr>
          <w:p>
            <w:pPr>
              <w:pStyle w:val="23"/>
              <w:autoSpaceDE/>
              <w:autoSpaceDN/>
              <w:rPr>
                <w:rFonts w:eastAsiaTheme="minorEastAsia"/>
                <w:bCs/>
              </w:rPr>
            </w:pPr>
            <w:r>
              <w:rPr>
                <w:rFonts w:eastAsiaTheme="minorEastAsia"/>
                <w:bCs/>
              </w:rPr>
              <w:t>关闭闸门或筑坝围隔污染区</w:t>
            </w:r>
            <w:r>
              <w:rPr>
                <w:rFonts w:hint="eastAsia" w:eastAsiaTheme="minorEastAsia"/>
                <w:bCs/>
              </w:rPr>
              <w:t>，</w:t>
            </w:r>
            <w:r>
              <w:rPr>
                <w:rFonts w:eastAsiaTheme="minorEastAsia"/>
                <w:bCs/>
              </w:rPr>
              <w:t>投放石灰和明矾沉淀</w:t>
            </w:r>
            <w:r>
              <w:rPr>
                <w:rFonts w:hint="eastAsia" w:eastAsiaTheme="minorEastAsia"/>
                <w:bCs/>
              </w:rPr>
              <w:t>，</w:t>
            </w:r>
            <w:r>
              <w:rPr>
                <w:rFonts w:eastAsiaTheme="minorEastAsia"/>
                <w:bCs/>
              </w:rPr>
              <w:t>沉淀完全后将上清液转移到安全地方</w:t>
            </w:r>
            <w:r>
              <w:rPr>
                <w:rFonts w:hint="eastAsia" w:eastAsiaTheme="minorEastAsia"/>
                <w:bCs/>
              </w:rPr>
              <w:t>，</w:t>
            </w:r>
            <w:r>
              <w:rPr>
                <w:rFonts w:eastAsiaTheme="minorEastAsia"/>
                <w:bCs/>
              </w:rPr>
              <w:t>用草酸钠还原后排放。清除底泥中的沉淀物</w:t>
            </w:r>
            <w:r>
              <w:rPr>
                <w:rFonts w:hint="eastAsia" w:eastAsiaTheme="minorEastAsia"/>
                <w:bCs/>
              </w:rPr>
              <w:t>，</w:t>
            </w:r>
            <w:r>
              <w:rPr>
                <w:rFonts w:eastAsiaTheme="minorEastAsia"/>
                <w:bCs/>
              </w:rPr>
              <w:t>用水泥固化后深埋。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2" w:hRule="atLeast"/>
        </w:trPr>
        <w:tc>
          <w:tcPr>
            <w:tcW w:w="425" w:type="dxa"/>
            <w:tcBorders>
              <w:tl2br w:val="nil"/>
              <w:tr2bl w:val="nil"/>
            </w:tcBorders>
            <w:vAlign w:val="center"/>
          </w:tcPr>
          <w:p>
            <w:pPr>
              <w:pStyle w:val="23"/>
              <w:autoSpaceDE/>
              <w:autoSpaceDN/>
              <w:rPr>
                <w:rFonts w:eastAsiaTheme="minorEastAsia"/>
                <w:bCs/>
              </w:rPr>
            </w:pPr>
            <w:r>
              <w:rPr>
                <w:rFonts w:eastAsiaTheme="minorEastAsia"/>
                <w:bCs/>
              </w:rPr>
              <w:t>5</w:t>
            </w:r>
          </w:p>
        </w:tc>
        <w:tc>
          <w:tcPr>
            <w:tcW w:w="867" w:type="dxa"/>
            <w:tcBorders>
              <w:tl2br w:val="nil"/>
              <w:tr2bl w:val="nil"/>
            </w:tcBorders>
            <w:vAlign w:val="center"/>
          </w:tcPr>
          <w:p>
            <w:pPr>
              <w:pStyle w:val="23"/>
              <w:autoSpaceDE/>
              <w:autoSpaceDN/>
              <w:rPr>
                <w:rFonts w:eastAsiaTheme="minorEastAsia"/>
                <w:bCs/>
              </w:rPr>
            </w:pPr>
            <w:r>
              <w:rPr>
                <w:rFonts w:eastAsiaTheme="minorEastAsia"/>
                <w:bCs/>
              </w:rPr>
              <w:t>苯类化合物</w:t>
            </w:r>
          </w:p>
        </w:tc>
        <w:tc>
          <w:tcPr>
            <w:tcW w:w="3896" w:type="dxa"/>
            <w:tcBorders>
              <w:tl2br w:val="nil"/>
              <w:tr2bl w:val="nil"/>
            </w:tcBorders>
            <w:vAlign w:val="center"/>
          </w:tcPr>
          <w:p>
            <w:pPr>
              <w:pStyle w:val="23"/>
              <w:autoSpaceDE/>
              <w:autoSpaceDN/>
              <w:rPr>
                <w:rFonts w:eastAsiaTheme="minorEastAsia"/>
                <w:bCs/>
              </w:rPr>
            </w:pPr>
            <w:r>
              <w:rPr>
                <w:rFonts w:eastAsiaTheme="minorEastAsia"/>
                <w:bCs/>
              </w:rPr>
              <w:t>烯、硝基苯等。油状液体</w:t>
            </w:r>
            <w:r>
              <w:rPr>
                <w:rFonts w:hint="eastAsia" w:eastAsiaTheme="minorEastAsia"/>
                <w:bCs/>
              </w:rPr>
              <w:t>，</w:t>
            </w:r>
            <w:r>
              <w:rPr>
                <w:rFonts w:eastAsiaTheme="minorEastAsia"/>
                <w:bCs/>
              </w:rPr>
              <w:t>有特殊芳香味，易挥发，除取代苯外，密度一般小于水。该类物质是神经和循环系统毒剂，对人体有致癌作用</w:t>
            </w:r>
            <w:r>
              <w:rPr>
                <w:rFonts w:hint="eastAsia" w:eastAsiaTheme="minorEastAsia"/>
                <w:bCs/>
              </w:rPr>
              <w:t>，</w:t>
            </w:r>
            <w:r>
              <w:rPr>
                <w:rFonts w:eastAsiaTheme="minorEastAsia"/>
                <w:bCs/>
              </w:rPr>
              <w:t>不溶或微溶于水</w:t>
            </w:r>
            <w:r>
              <w:rPr>
                <w:rFonts w:hint="eastAsia" w:eastAsiaTheme="minorEastAsia"/>
                <w:bCs/>
              </w:rPr>
              <w:t>，</w:t>
            </w:r>
            <w:r>
              <w:rPr>
                <w:rFonts w:eastAsiaTheme="minorEastAsia"/>
                <w:bCs/>
              </w:rPr>
              <w:t>扩散速度快，</w:t>
            </w:r>
          </w:p>
        </w:tc>
        <w:tc>
          <w:tcPr>
            <w:tcW w:w="3415" w:type="dxa"/>
            <w:tcBorders>
              <w:tl2br w:val="nil"/>
              <w:tr2bl w:val="nil"/>
            </w:tcBorders>
            <w:vAlign w:val="center"/>
          </w:tcPr>
          <w:p>
            <w:pPr>
              <w:pStyle w:val="23"/>
              <w:autoSpaceDE/>
              <w:autoSpaceDN/>
              <w:rPr>
                <w:rFonts w:eastAsiaTheme="minorEastAsia"/>
                <w:bCs/>
              </w:rPr>
            </w:pPr>
            <w:r>
              <w:rPr>
                <w:rFonts w:eastAsiaTheme="minorEastAsia"/>
                <w:bCs/>
              </w:rPr>
              <w:t>应急处置人员应戴全身防护用具</w:t>
            </w:r>
            <w:r>
              <w:rPr>
                <w:rFonts w:hint="eastAsia" w:eastAsiaTheme="minorEastAsia"/>
                <w:bCs/>
              </w:rPr>
              <w:t>，</w:t>
            </w:r>
            <w:r>
              <w:rPr>
                <w:rFonts w:eastAsiaTheme="minorEastAsia"/>
                <w:bCs/>
              </w:rPr>
              <w:t>筑坝或用围油栏围隔污染区</w:t>
            </w:r>
            <w:r>
              <w:rPr>
                <w:rFonts w:hint="eastAsia" w:eastAsiaTheme="minorEastAsia"/>
                <w:bCs/>
              </w:rPr>
              <w:t>，</w:t>
            </w:r>
            <w:r>
              <w:rPr>
                <w:rFonts w:eastAsiaTheme="minorEastAsia"/>
                <w:bCs/>
              </w:rPr>
              <w:t>注意防火。污染区用吸油绵等高吸油材料现场吸附</w:t>
            </w:r>
            <w:r>
              <w:rPr>
                <w:rFonts w:hint="eastAsia" w:eastAsiaTheme="minorEastAsia"/>
                <w:bCs/>
              </w:rPr>
              <w:t>，</w:t>
            </w:r>
            <w:r>
              <w:rPr>
                <w:rFonts w:eastAsiaTheme="minorEastAsia"/>
                <w:bCs/>
              </w:rPr>
              <w:t>转移到安全地方焚烧处理。污染水体最终用活性炭吸附处理。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276" w:hRule="atLeast"/>
        </w:trPr>
        <w:tc>
          <w:tcPr>
            <w:tcW w:w="425" w:type="dxa"/>
            <w:tcBorders>
              <w:tl2br w:val="nil"/>
              <w:tr2bl w:val="nil"/>
            </w:tcBorders>
            <w:vAlign w:val="center"/>
          </w:tcPr>
          <w:p>
            <w:pPr>
              <w:pStyle w:val="23"/>
              <w:autoSpaceDE/>
              <w:autoSpaceDN/>
              <w:rPr>
                <w:rFonts w:eastAsiaTheme="minorEastAsia"/>
                <w:bCs/>
              </w:rPr>
            </w:pPr>
            <w:r>
              <w:rPr>
                <w:rFonts w:eastAsiaTheme="minorEastAsia"/>
                <w:bCs/>
              </w:rPr>
              <w:t>6</w:t>
            </w:r>
          </w:p>
        </w:tc>
        <w:tc>
          <w:tcPr>
            <w:tcW w:w="867" w:type="dxa"/>
            <w:tcBorders>
              <w:tl2br w:val="nil"/>
              <w:tr2bl w:val="nil"/>
            </w:tcBorders>
            <w:vAlign w:val="center"/>
          </w:tcPr>
          <w:p>
            <w:pPr>
              <w:pStyle w:val="23"/>
              <w:autoSpaceDE/>
              <w:autoSpaceDN/>
              <w:rPr>
                <w:rFonts w:eastAsiaTheme="minorEastAsia"/>
                <w:bCs/>
              </w:rPr>
            </w:pPr>
            <w:r>
              <w:rPr>
                <w:rFonts w:eastAsiaTheme="minorEastAsia"/>
                <w:bCs/>
              </w:rPr>
              <w:t>卤代烃</w:t>
            </w:r>
          </w:p>
        </w:tc>
        <w:tc>
          <w:tcPr>
            <w:tcW w:w="3896" w:type="dxa"/>
            <w:tcBorders>
              <w:tl2br w:val="nil"/>
              <w:tr2bl w:val="nil"/>
            </w:tcBorders>
            <w:vAlign w:val="center"/>
          </w:tcPr>
          <w:p>
            <w:pPr>
              <w:pStyle w:val="23"/>
              <w:autoSpaceDE/>
              <w:autoSpaceDN/>
              <w:rPr>
                <w:rFonts w:eastAsiaTheme="minorEastAsia"/>
                <w:bCs/>
              </w:rPr>
            </w:pPr>
            <w:r>
              <w:rPr>
                <w:rFonts w:eastAsiaTheme="minorEastAsia"/>
                <w:bCs/>
              </w:rPr>
              <w:t>代表物质有抓乙烯、四氯化碳、三氯甲烷、氯苯</w:t>
            </w:r>
            <w:r>
              <w:rPr>
                <w:rFonts w:hint="eastAsia" w:eastAsiaTheme="minorEastAsia"/>
                <w:bCs/>
              </w:rPr>
              <w:t>，</w:t>
            </w:r>
            <w:r>
              <w:rPr>
                <w:rFonts w:eastAsiaTheme="minorEastAsia"/>
                <w:bCs/>
              </w:rPr>
              <w:t>均为油状液体</w:t>
            </w:r>
            <w:r>
              <w:rPr>
                <w:rFonts w:hint="eastAsia" w:eastAsiaTheme="minorEastAsia"/>
                <w:bCs/>
              </w:rPr>
              <w:t>，</w:t>
            </w:r>
            <w:r>
              <w:rPr>
                <w:rFonts w:eastAsiaTheme="minorEastAsia"/>
                <w:bCs/>
              </w:rPr>
              <w:t>易挥发</w:t>
            </w:r>
            <w:r>
              <w:rPr>
                <w:rFonts w:hint="eastAsia" w:eastAsiaTheme="minorEastAsia"/>
                <w:bCs/>
              </w:rPr>
              <w:t>，</w:t>
            </w:r>
            <w:r>
              <w:rPr>
                <w:rFonts w:eastAsiaTheme="minorEastAsia"/>
                <w:bCs/>
              </w:rPr>
              <w:t>不溶于水</w:t>
            </w:r>
            <w:r>
              <w:rPr>
                <w:rFonts w:hint="eastAsia" w:eastAsiaTheme="minorEastAsia"/>
                <w:bCs/>
              </w:rPr>
              <w:t>，</w:t>
            </w:r>
            <w:r>
              <w:rPr>
                <w:rFonts w:eastAsiaTheme="minorEastAsia"/>
                <w:bCs/>
              </w:rPr>
              <w:t>密度一般大于水</w:t>
            </w:r>
            <w:r>
              <w:rPr>
                <w:rFonts w:hint="eastAsia" w:eastAsiaTheme="minorEastAsia"/>
                <w:bCs/>
              </w:rPr>
              <w:t>，</w:t>
            </w:r>
            <w:r>
              <w:rPr>
                <w:rFonts w:eastAsiaTheme="minorEastAsia"/>
                <w:bCs/>
              </w:rPr>
              <w:t>燃烧时有刺激性气体放出。该类物质遇水稳定</w:t>
            </w:r>
            <w:r>
              <w:rPr>
                <w:rFonts w:hint="eastAsia" w:eastAsiaTheme="minorEastAsia"/>
                <w:bCs/>
              </w:rPr>
              <w:t>，</w:t>
            </w:r>
            <w:r>
              <w:rPr>
                <w:rFonts w:eastAsiaTheme="minorEastAsia"/>
                <w:bCs/>
              </w:rPr>
              <w:t>对眼睛、皮肤、呼吸道等有刺激作用</w:t>
            </w:r>
            <w:r>
              <w:rPr>
                <w:rFonts w:hint="eastAsia" w:eastAsiaTheme="minorEastAsia"/>
                <w:bCs/>
              </w:rPr>
              <w:t>，</w:t>
            </w:r>
            <w:r>
              <w:rPr>
                <w:rFonts w:eastAsiaTheme="minorEastAsia"/>
                <w:bCs/>
              </w:rPr>
              <w:t>对人体有致癌作用。多元取代物密度往往大于水</w:t>
            </w:r>
            <w:r>
              <w:rPr>
                <w:rFonts w:hint="eastAsia" w:eastAsiaTheme="minorEastAsia"/>
                <w:bCs/>
              </w:rPr>
              <w:t>，</w:t>
            </w:r>
            <w:r>
              <w:rPr>
                <w:rFonts w:eastAsiaTheme="minorEastAsia"/>
                <w:bCs/>
              </w:rPr>
              <w:t>沉于水底造成持久危害。</w:t>
            </w:r>
          </w:p>
        </w:tc>
        <w:tc>
          <w:tcPr>
            <w:tcW w:w="3415" w:type="dxa"/>
            <w:tcBorders>
              <w:tl2br w:val="nil"/>
              <w:tr2bl w:val="nil"/>
            </w:tcBorders>
            <w:vAlign w:val="center"/>
          </w:tcPr>
          <w:p>
            <w:pPr>
              <w:pStyle w:val="23"/>
              <w:autoSpaceDE/>
              <w:autoSpaceDN/>
              <w:rPr>
                <w:rFonts w:eastAsiaTheme="minorEastAsia"/>
                <w:bCs/>
              </w:rPr>
            </w:pPr>
            <w:r>
              <w:rPr>
                <w:rFonts w:eastAsiaTheme="minorEastAsia"/>
                <w:bCs/>
              </w:rPr>
              <w:t>围隔应急人员应</w:t>
            </w:r>
            <w:r>
              <w:rPr>
                <w:rFonts w:hint="eastAsia" w:eastAsiaTheme="minorEastAsia"/>
                <w:bCs/>
              </w:rPr>
              <w:t>佩戴</w:t>
            </w:r>
            <w:r>
              <w:rPr>
                <w:rFonts w:eastAsiaTheme="minorEastAsia"/>
                <w:bCs/>
              </w:rPr>
              <w:t>全身防护用具。筑坝污染区</w:t>
            </w:r>
            <w:r>
              <w:rPr>
                <w:rFonts w:hint="eastAsia" w:eastAsiaTheme="minorEastAsia"/>
                <w:bCs/>
              </w:rPr>
              <w:t>，</w:t>
            </w:r>
            <w:r>
              <w:rPr>
                <w:rFonts w:eastAsiaTheme="minorEastAsia"/>
                <w:bCs/>
              </w:rPr>
              <w:t>污染水体投加活性碳吸附处理。用活性炭、吸油棉等高吸油材料等现场吸附积水中的污染物</w:t>
            </w:r>
            <w:r>
              <w:rPr>
                <w:rFonts w:hint="eastAsia" w:eastAsiaTheme="minorEastAsia"/>
                <w:bCs/>
              </w:rPr>
              <w:t>，</w:t>
            </w:r>
            <w:r>
              <w:rPr>
                <w:rFonts w:eastAsiaTheme="minorEastAsia"/>
                <w:bCs/>
              </w:rPr>
              <w:t>彻底清除后送到安全地方处理。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276" w:hRule="atLeast"/>
        </w:trPr>
        <w:tc>
          <w:tcPr>
            <w:tcW w:w="425" w:type="dxa"/>
            <w:tcBorders>
              <w:tl2br w:val="nil"/>
              <w:tr2bl w:val="nil"/>
            </w:tcBorders>
            <w:vAlign w:val="center"/>
          </w:tcPr>
          <w:p>
            <w:pPr>
              <w:pStyle w:val="23"/>
              <w:autoSpaceDE/>
              <w:autoSpaceDN/>
              <w:rPr>
                <w:rFonts w:eastAsiaTheme="minorEastAsia"/>
                <w:bCs/>
              </w:rPr>
            </w:pPr>
            <w:r>
              <w:rPr>
                <w:rFonts w:eastAsiaTheme="minorEastAsia"/>
                <w:bCs/>
              </w:rPr>
              <w:t>7</w:t>
            </w:r>
          </w:p>
        </w:tc>
        <w:tc>
          <w:tcPr>
            <w:tcW w:w="867" w:type="dxa"/>
            <w:tcBorders>
              <w:tl2br w:val="nil"/>
              <w:tr2bl w:val="nil"/>
            </w:tcBorders>
            <w:vAlign w:val="center"/>
          </w:tcPr>
          <w:p>
            <w:pPr>
              <w:pStyle w:val="23"/>
              <w:autoSpaceDE/>
              <w:autoSpaceDN/>
              <w:rPr>
                <w:rFonts w:eastAsiaTheme="minorEastAsia"/>
                <w:bCs/>
              </w:rPr>
            </w:pPr>
            <w:r>
              <w:rPr>
                <w:rFonts w:eastAsiaTheme="minorEastAsia"/>
                <w:bCs/>
              </w:rPr>
              <w:t>酚类</w:t>
            </w:r>
          </w:p>
        </w:tc>
        <w:tc>
          <w:tcPr>
            <w:tcW w:w="3896" w:type="dxa"/>
            <w:tcBorders>
              <w:tl2br w:val="nil"/>
              <w:tr2bl w:val="nil"/>
            </w:tcBorders>
            <w:vAlign w:val="center"/>
          </w:tcPr>
          <w:p>
            <w:pPr>
              <w:pStyle w:val="23"/>
              <w:autoSpaceDE/>
              <w:autoSpaceDN/>
              <w:rPr>
                <w:rFonts w:eastAsiaTheme="minorEastAsia"/>
                <w:bCs/>
              </w:rPr>
            </w:pPr>
            <w:r>
              <w:rPr>
                <w:rFonts w:eastAsiaTheme="minorEastAsia"/>
                <w:bCs/>
              </w:rPr>
              <w:t>代表物质有苯酚、间甲酚、对硝基苯酚、氯苯酚、三氯酚、五氯酚等。多为白色结晶或油状液体</w:t>
            </w:r>
            <w:r>
              <w:rPr>
                <w:rFonts w:hint="eastAsia" w:eastAsiaTheme="minorEastAsia"/>
                <w:bCs/>
              </w:rPr>
              <w:t>，</w:t>
            </w:r>
            <w:r>
              <w:rPr>
                <w:rFonts w:eastAsiaTheme="minorEastAsia"/>
                <w:bCs/>
              </w:rPr>
              <w:t>有特殊气味</w:t>
            </w:r>
            <w:r>
              <w:rPr>
                <w:rFonts w:hint="eastAsia" w:eastAsiaTheme="minorEastAsia"/>
                <w:bCs/>
              </w:rPr>
              <w:t>，</w:t>
            </w:r>
            <w:r>
              <w:rPr>
                <w:rFonts w:eastAsiaTheme="minorEastAsia"/>
                <w:bCs/>
              </w:rPr>
              <w:t>不溶或微溶于水</w:t>
            </w:r>
            <w:r>
              <w:rPr>
                <w:rFonts w:hint="eastAsia" w:eastAsiaTheme="minorEastAsia"/>
                <w:bCs/>
              </w:rPr>
              <w:t>，</w:t>
            </w:r>
            <w:r>
              <w:rPr>
                <w:rFonts w:eastAsiaTheme="minorEastAsia"/>
                <w:bCs/>
              </w:rPr>
              <w:t>密度一般大于水。该类物质一般具有较高的毒性</w:t>
            </w:r>
            <w:r>
              <w:rPr>
                <w:rFonts w:hint="eastAsia" w:eastAsiaTheme="minorEastAsia"/>
                <w:bCs/>
              </w:rPr>
              <w:t>，</w:t>
            </w:r>
            <w:r>
              <w:rPr>
                <w:rFonts w:eastAsiaTheme="minorEastAsia"/>
                <w:bCs/>
              </w:rPr>
              <w:t>能刺激皮肤和消化道</w:t>
            </w:r>
            <w:r>
              <w:rPr>
                <w:rFonts w:hint="eastAsia" w:eastAsiaTheme="minorEastAsia"/>
                <w:bCs/>
              </w:rPr>
              <w:t>，</w:t>
            </w:r>
            <w:r>
              <w:rPr>
                <w:rFonts w:eastAsiaTheme="minorEastAsia"/>
                <w:bCs/>
              </w:rPr>
              <w:t>在水中降解速度慢</w:t>
            </w:r>
            <w:r>
              <w:rPr>
                <w:rFonts w:hint="eastAsia" w:eastAsiaTheme="minorEastAsia"/>
                <w:bCs/>
              </w:rPr>
              <w:t>，</w:t>
            </w:r>
            <w:r>
              <w:rPr>
                <w:rFonts w:eastAsiaTheme="minorEastAsia"/>
                <w:bCs/>
              </w:rPr>
              <w:t>有致癌和致畸作用。</w:t>
            </w:r>
          </w:p>
        </w:tc>
        <w:tc>
          <w:tcPr>
            <w:tcW w:w="3415" w:type="dxa"/>
            <w:tcBorders>
              <w:tl2br w:val="nil"/>
              <w:tr2bl w:val="nil"/>
            </w:tcBorders>
            <w:vAlign w:val="center"/>
          </w:tcPr>
          <w:p>
            <w:pPr>
              <w:pStyle w:val="23"/>
              <w:autoSpaceDE/>
              <w:autoSpaceDN/>
              <w:rPr>
                <w:rFonts w:eastAsiaTheme="minorEastAsia"/>
                <w:bCs/>
              </w:rPr>
            </w:pPr>
            <w:r>
              <w:rPr>
                <w:rFonts w:eastAsiaTheme="minorEastAsia"/>
                <w:bCs/>
              </w:rPr>
              <w:t>应急处置人员应</w:t>
            </w:r>
            <w:r>
              <w:rPr>
                <w:rFonts w:hint="eastAsia" w:eastAsiaTheme="minorEastAsia"/>
                <w:bCs/>
              </w:rPr>
              <w:t>佩戴</w:t>
            </w:r>
            <w:r>
              <w:rPr>
                <w:rFonts w:eastAsiaTheme="minorEastAsia"/>
                <w:bCs/>
              </w:rPr>
              <w:t>全身防护用具。筑坝或用围油栏围隔污染区后</w:t>
            </w:r>
            <w:r>
              <w:rPr>
                <w:rFonts w:hint="eastAsia" w:eastAsiaTheme="minorEastAsia"/>
                <w:bCs/>
              </w:rPr>
              <w:t>，</w:t>
            </w:r>
            <w:r>
              <w:rPr>
                <w:rFonts w:eastAsiaTheme="minorEastAsia"/>
                <w:bCs/>
              </w:rPr>
              <w:t>用吸油棉等高吸油材料现场吸附残留泄漏物</w:t>
            </w:r>
            <w:r>
              <w:rPr>
                <w:rFonts w:hint="eastAsia" w:eastAsiaTheme="minorEastAsia"/>
                <w:bCs/>
              </w:rPr>
              <w:t>，</w:t>
            </w:r>
            <w:r>
              <w:rPr>
                <w:rFonts w:eastAsiaTheme="minorEastAsia"/>
                <w:bCs/>
              </w:rPr>
              <w:t>转移到安全地方处理。污染水体投加生石灰、漂白粉沉淀和促进降解</w:t>
            </w:r>
            <w:r>
              <w:rPr>
                <w:rFonts w:hint="eastAsia" w:eastAsiaTheme="minorEastAsia"/>
                <w:bCs/>
              </w:rPr>
              <w:t>，</w:t>
            </w:r>
            <w:r>
              <w:rPr>
                <w:rFonts w:eastAsiaTheme="minorEastAsia"/>
                <w:bCs/>
              </w:rPr>
              <w:t>最后投加</w:t>
            </w:r>
            <w:r>
              <w:rPr>
                <w:rFonts w:hint="eastAsia" w:eastAsiaTheme="minorEastAsia"/>
                <w:bCs/>
              </w:rPr>
              <w:t>活性炭</w:t>
            </w:r>
            <w:r>
              <w:rPr>
                <w:rFonts w:eastAsiaTheme="minorEastAsia"/>
                <w:bCs/>
              </w:rPr>
              <w:t>吸附处理。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276" w:hRule="atLeast"/>
        </w:trPr>
        <w:tc>
          <w:tcPr>
            <w:tcW w:w="425" w:type="dxa"/>
            <w:tcBorders>
              <w:tl2br w:val="nil"/>
              <w:tr2bl w:val="nil"/>
            </w:tcBorders>
            <w:vAlign w:val="center"/>
          </w:tcPr>
          <w:p>
            <w:pPr>
              <w:pStyle w:val="23"/>
              <w:autoSpaceDE/>
              <w:autoSpaceDN/>
              <w:rPr>
                <w:rFonts w:eastAsiaTheme="minorEastAsia"/>
                <w:bCs/>
              </w:rPr>
            </w:pPr>
            <w:r>
              <w:rPr>
                <w:rFonts w:eastAsiaTheme="minorEastAsia"/>
                <w:bCs/>
              </w:rPr>
              <w:t>8</w:t>
            </w:r>
          </w:p>
        </w:tc>
        <w:tc>
          <w:tcPr>
            <w:tcW w:w="867" w:type="dxa"/>
            <w:tcBorders>
              <w:tl2br w:val="nil"/>
              <w:tr2bl w:val="nil"/>
            </w:tcBorders>
            <w:vAlign w:val="center"/>
          </w:tcPr>
          <w:p>
            <w:pPr>
              <w:pStyle w:val="23"/>
              <w:autoSpaceDE/>
              <w:autoSpaceDN/>
              <w:rPr>
                <w:rFonts w:eastAsiaTheme="minorEastAsia"/>
                <w:bCs/>
              </w:rPr>
            </w:pPr>
            <w:r>
              <w:rPr>
                <w:rFonts w:eastAsiaTheme="minorEastAsia"/>
                <w:bCs/>
              </w:rPr>
              <w:t>农药类</w:t>
            </w:r>
          </w:p>
        </w:tc>
        <w:tc>
          <w:tcPr>
            <w:tcW w:w="3896" w:type="dxa"/>
            <w:tcBorders>
              <w:tl2br w:val="nil"/>
              <w:tr2bl w:val="nil"/>
            </w:tcBorders>
            <w:vAlign w:val="center"/>
          </w:tcPr>
          <w:p>
            <w:pPr>
              <w:pStyle w:val="23"/>
              <w:autoSpaceDE/>
              <w:autoSpaceDN/>
              <w:rPr>
                <w:rFonts w:eastAsiaTheme="minorEastAsia"/>
                <w:bCs/>
              </w:rPr>
            </w:pPr>
            <w:r>
              <w:rPr>
                <w:rFonts w:eastAsiaTheme="minorEastAsia"/>
                <w:bCs/>
              </w:rPr>
              <w:t>有机氯农药在我国已经禁用。在用的农药包括有机磷农药、氨基甲酸醋农药、拟除虫菊醋类农药等。有机磷农药有甲胺磷、敌敌畏、敌百虫、乐果、氧化乐果、对硫磷、甲基对硫磷、马拉硫磷、苯硫磷、倍硫磷等</w:t>
            </w:r>
            <w:r>
              <w:rPr>
                <w:rFonts w:hint="eastAsia" w:eastAsiaTheme="minorEastAsia"/>
                <w:bCs/>
              </w:rPr>
              <w:t>，</w:t>
            </w:r>
            <w:r>
              <w:rPr>
                <w:rFonts w:eastAsiaTheme="minorEastAsia"/>
                <w:bCs/>
              </w:rPr>
              <w:t>多用作杀虫剂。多数品种为油状液体</w:t>
            </w:r>
            <w:r>
              <w:rPr>
                <w:rFonts w:hint="eastAsia" w:eastAsiaTheme="minorEastAsia"/>
                <w:bCs/>
              </w:rPr>
              <w:t>，</w:t>
            </w:r>
            <w:r>
              <w:rPr>
                <w:rFonts w:eastAsiaTheme="minorEastAsia"/>
                <w:bCs/>
              </w:rPr>
              <w:t>不溶于水</w:t>
            </w:r>
            <w:r>
              <w:rPr>
                <w:rFonts w:hint="eastAsia" w:eastAsiaTheme="minorEastAsia"/>
                <w:bCs/>
              </w:rPr>
              <w:t>，</w:t>
            </w:r>
            <w:r>
              <w:rPr>
                <w:rFonts w:eastAsiaTheme="minorEastAsia"/>
                <w:bCs/>
              </w:rPr>
              <w:t xml:space="preserve"> 密度大于水</w:t>
            </w:r>
            <w:r>
              <w:rPr>
                <w:rFonts w:hint="eastAsia" w:eastAsiaTheme="minorEastAsia"/>
                <w:bCs/>
              </w:rPr>
              <w:t>，</w:t>
            </w:r>
            <w:r>
              <w:rPr>
                <w:rFonts w:eastAsiaTheme="minorEastAsia"/>
                <w:bCs/>
              </w:rPr>
              <w:t>具有类似大蒜样特殊臭味</w:t>
            </w:r>
            <w:r>
              <w:rPr>
                <w:rFonts w:hint="eastAsia" w:eastAsiaTheme="minorEastAsia"/>
                <w:bCs/>
              </w:rPr>
              <w:t>，</w:t>
            </w:r>
            <w:r>
              <w:rPr>
                <w:rFonts w:eastAsiaTheme="minorEastAsia"/>
                <w:bCs/>
              </w:rPr>
              <w:t>一般制成乳油使用。多为剧毒农药</w:t>
            </w:r>
            <w:r>
              <w:rPr>
                <w:rFonts w:hint="eastAsia" w:eastAsiaTheme="minorEastAsia"/>
                <w:bCs/>
              </w:rPr>
              <w:t>，</w:t>
            </w:r>
            <w:r>
              <w:rPr>
                <w:rFonts w:eastAsiaTheme="minorEastAsia"/>
                <w:bCs/>
              </w:rPr>
              <w:t>通过消化道、呼吸道及皮肤吸收</w:t>
            </w:r>
            <w:r>
              <w:rPr>
                <w:rFonts w:hint="eastAsia" w:eastAsiaTheme="minorEastAsia"/>
                <w:bCs/>
              </w:rPr>
              <w:t>，</w:t>
            </w:r>
            <w:r>
              <w:rPr>
                <w:rFonts w:eastAsiaTheme="minorEastAsia"/>
                <w:bCs/>
              </w:rPr>
              <w:t>对人及鱼类高毒。氨基甲酸醋农药有</w:t>
            </w:r>
            <w:r>
              <w:rPr>
                <w:rFonts w:hint="eastAsia" w:eastAsiaTheme="minorEastAsia"/>
                <w:bCs/>
              </w:rPr>
              <w:t>呋喃丹</w:t>
            </w:r>
            <w:r>
              <w:rPr>
                <w:rFonts w:eastAsiaTheme="minorEastAsia"/>
                <w:bCs/>
              </w:rPr>
              <w:t>、抗蚜威、速灭威、灭多威、丙硫威等</w:t>
            </w:r>
            <w:r>
              <w:rPr>
                <w:rFonts w:hint="eastAsia" w:eastAsiaTheme="minorEastAsia"/>
                <w:bCs/>
              </w:rPr>
              <w:t>，</w:t>
            </w:r>
            <w:r>
              <w:rPr>
                <w:rFonts w:eastAsiaTheme="minorEastAsia"/>
                <w:bCs/>
              </w:rPr>
              <w:t>多用于杀虫剂和抗菌剂。多为结晶粉末状</w:t>
            </w:r>
            <w:r>
              <w:rPr>
                <w:rFonts w:hint="eastAsia" w:eastAsiaTheme="minorEastAsia"/>
                <w:bCs/>
              </w:rPr>
              <w:t>，</w:t>
            </w:r>
            <w:r>
              <w:rPr>
                <w:rFonts w:eastAsiaTheme="minorEastAsia"/>
                <w:bCs/>
              </w:rPr>
              <w:t>微溶于水</w:t>
            </w:r>
            <w:r>
              <w:rPr>
                <w:rFonts w:hint="eastAsia" w:eastAsiaTheme="minorEastAsia"/>
                <w:bCs/>
              </w:rPr>
              <w:t>，</w:t>
            </w:r>
            <w:r>
              <w:rPr>
                <w:rFonts w:eastAsiaTheme="minorEastAsia"/>
                <w:bCs/>
              </w:rPr>
              <w:t>无气味或气味弱。多为剧毒农药</w:t>
            </w:r>
            <w:r>
              <w:rPr>
                <w:rFonts w:hint="eastAsia" w:eastAsiaTheme="minorEastAsia"/>
                <w:bCs/>
              </w:rPr>
              <w:t>，</w:t>
            </w:r>
            <w:r>
              <w:rPr>
                <w:rFonts w:eastAsiaTheme="minorEastAsia"/>
                <w:bCs/>
              </w:rPr>
              <w:t>通过消化道、呼吸道及皮肤吸收。拟除虫菊醋类农药有氟氰菊醋、澳氰菊醋、抓氛菊醋、杀灭菊醋</w:t>
            </w:r>
            <w:r>
              <w:rPr>
                <w:rFonts w:hint="eastAsia" w:eastAsiaTheme="minorEastAsia"/>
                <w:bCs/>
              </w:rPr>
              <w:t>，</w:t>
            </w:r>
            <w:r>
              <w:rPr>
                <w:rFonts w:eastAsiaTheme="minorEastAsia"/>
                <w:bCs/>
              </w:rPr>
              <w:t>多用作杀虫剂。一般为微黄色油状粘稠液体</w:t>
            </w:r>
            <w:r>
              <w:rPr>
                <w:rFonts w:hint="eastAsia" w:eastAsiaTheme="minorEastAsia"/>
                <w:bCs/>
              </w:rPr>
              <w:t>，</w:t>
            </w:r>
            <w:r>
              <w:rPr>
                <w:rFonts w:eastAsiaTheme="minorEastAsia"/>
                <w:bCs/>
              </w:rPr>
              <w:t>不溶于水</w:t>
            </w:r>
            <w:r>
              <w:rPr>
                <w:rFonts w:hint="eastAsia" w:eastAsiaTheme="minorEastAsia"/>
                <w:bCs/>
              </w:rPr>
              <w:t>，</w:t>
            </w:r>
            <w:r>
              <w:rPr>
                <w:rFonts w:eastAsiaTheme="minorEastAsia"/>
                <w:bCs/>
              </w:rPr>
              <w:t>溶于常用有机溶剂。是高效低残留杀虫剂</w:t>
            </w:r>
            <w:r>
              <w:rPr>
                <w:rFonts w:hint="eastAsia" w:eastAsiaTheme="minorEastAsia"/>
                <w:bCs/>
              </w:rPr>
              <w:t>，</w:t>
            </w:r>
            <w:r>
              <w:rPr>
                <w:rFonts w:eastAsiaTheme="minorEastAsia"/>
                <w:bCs/>
              </w:rPr>
              <w:t>对鱼类高毒</w:t>
            </w:r>
            <w:r>
              <w:rPr>
                <w:rFonts w:hint="eastAsia" w:eastAsiaTheme="minorEastAsia"/>
                <w:bCs/>
              </w:rPr>
              <w:t>，</w:t>
            </w:r>
            <w:r>
              <w:rPr>
                <w:rFonts w:eastAsiaTheme="minorEastAsia"/>
                <w:bCs/>
              </w:rPr>
              <w:t>对人类中等毒性</w:t>
            </w:r>
            <w:r>
              <w:rPr>
                <w:rFonts w:hint="eastAsia" w:eastAsiaTheme="minorEastAsia"/>
                <w:bCs/>
              </w:rPr>
              <w:t>，</w:t>
            </w:r>
            <w:r>
              <w:rPr>
                <w:rFonts w:eastAsiaTheme="minorEastAsia"/>
                <w:bCs/>
              </w:rPr>
              <w:t>能损害神经、肝、肾等器官。</w:t>
            </w:r>
          </w:p>
        </w:tc>
        <w:tc>
          <w:tcPr>
            <w:tcW w:w="3415" w:type="dxa"/>
            <w:tcBorders>
              <w:tl2br w:val="nil"/>
              <w:tr2bl w:val="nil"/>
            </w:tcBorders>
            <w:vAlign w:val="center"/>
          </w:tcPr>
          <w:p>
            <w:pPr>
              <w:pStyle w:val="23"/>
              <w:autoSpaceDE/>
              <w:autoSpaceDN/>
              <w:rPr>
                <w:rFonts w:eastAsiaTheme="minorEastAsia"/>
                <w:bCs/>
              </w:rPr>
            </w:pPr>
            <w:r>
              <w:rPr>
                <w:rFonts w:eastAsiaTheme="minorEastAsia"/>
                <w:bCs/>
              </w:rPr>
              <w:t>应急人员应</w:t>
            </w:r>
            <w:r>
              <w:rPr>
                <w:rFonts w:hint="eastAsia" w:eastAsiaTheme="minorEastAsia"/>
                <w:bCs/>
              </w:rPr>
              <w:t>佩戴</w:t>
            </w:r>
            <w:r>
              <w:rPr>
                <w:rFonts w:eastAsiaTheme="minorEastAsia"/>
                <w:bCs/>
              </w:rPr>
              <w:t>全身防护用具。关闭</w:t>
            </w:r>
          </w:p>
          <w:p>
            <w:pPr>
              <w:pStyle w:val="23"/>
              <w:autoSpaceDE/>
              <w:autoSpaceDN/>
              <w:rPr>
                <w:rFonts w:eastAsiaTheme="minorEastAsia"/>
                <w:bCs/>
              </w:rPr>
            </w:pPr>
            <w:r>
              <w:rPr>
                <w:rFonts w:eastAsiaTheme="minorEastAsia"/>
                <w:bCs/>
              </w:rPr>
              <w:t>闸门或筑坝围隔污染区</w:t>
            </w:r>
            <w:r>
              <w:rPr>
                <w:rFonts w:hint="eastAsia" w:eastAsiaTheme="minorEastAsia"/>
                <w:bCs/>
              </w:rPr>
              <w:t>，</w:t>
            </w:r>
            <w:r>
              <w:rPr>
                <w:rFonts w:eastAsiaTheme="minorEastAsia"/>
                <w:bCs/>
              </w:rPr>
              <w:t>用活性炭吸收未溶的农药</w:t>
            </w:r>
            <w:r>
              <w:rPr>
                <w:rFonts w:hint="eastAsia" w:eastAsiaTheme="minorEastAsia"/>
                <w:bCs/>
              </w:rPr>
              <w:t>，</w:t>
            </w:r>
            <w:r>
              <w:rPr>
                <w:rFonts w:eastAsiaTheme="minorEastAsia"/>
                <w:bCs/>
              </w:rPr>
              <w:t>收集到安全场所用碱性溶液无害化处理。对污染区用生石灰或</w:t>
            </w:r>
            <w:r>
              <w:rPr>
                <w:rFonts w:hint="eastAsia" w:eastAsiaTheme="minorEastAsia"/>
                <w:bCs/>
              </w:rPr>
              <w:t>漂白粉</w:t>
            </w:r>
            <w:r>
              <w:rPr>
                <w:rFonts w:eastAsiaTheme="minorEastAsia"/>
                <w:bCs/>
              </w:rPr>
              <w:t>处置</w:t>
            </w:r>
            <w:r>
              <w:rPr>
                <w:rFonts w:hint="eastAsia" w:eastAsiaTheme="minorEastAsia"/>
                <w:bCs/>
              </w:rPr>
              <w:t>，</w:t>
            </w:r>
            <w:r>
              <w:rPr>
                <w:rFonts w:eastAsiaTheme="minorEastAsia"/>
                <w:bCs/>
              </w:rPr>
              <w:t>破坏农药的致毒基团</w:t>
            </w:r>
            <w:r>
              <w:rPr>
                <w:rFonts w:hint="eastAsia" w:eastAsiaTheme="minorEastAsia"/>
                <w:bCs/>
              </w:rPr>
              <w:t>，</w:t>
            </w:r>
            <w:r>
              <w:rPr>
                <w:rFonts w:eastAsiaTheme="minorEastAsia"/>
                <w:bCs/>
              </w:rPr>
              <w:t>达到解毒的目的。最后用活性炭进行吸附处理。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894" w:hRule="atLeast"/>
        </w:trPr>
        <w:tc>
          <w:tcPr>
            <w:tcW w:w="425" w:type="dxa"/>
            <w:tcBorders>
              <w:tl2br w:val="nil"/>
              <w:tr2bl w:val="nil"/>
            </w:tcBorders>
            <w:vAlign w:val="center"/>
          </w:tcPr>
          <w:p>
            <w:pPr>
              <w:pStyle w:val="23"/>
              <w:autoSpaceDE/>
              <w:autoSpaceDN/>
              <w:rPr>
                <w:rFonts w:eastAsiaTheme="minorEastAsia"/>
                <w:bCs/>
              </w:rPr>
            </w:pPr>
            <w:r>
              <w:rPr>
                <w:rFonts w:eastAsiaTheme="minorEastAsia"/>
                <w:bCs/>
              </w:rPr>
              <w:t>9</w:t>
            </w:r>
          </w:p>
        </w:tc>
        <w:tc>
          <w:tcPr>
            <w:tcW w:w="867" w:type="dxa"/>
            <w:tcBorders>
              <w:tl2br w:val="nil"/>
              <w:tr2bl w:val="nil"/>
            </w:tcBorders>
            <w:vAlign w:val="center"/>
          </w:tcPr>
          <w:p>
            <w:pPr>
              <w:pStyle w:val="23"/>
              <w:autoSpaceDE/>
              <w:autoSpaceDN/>
              <w:rPr>
                <w:rFonts w:eastAsiaTheme="minorEastAsia"/>
                <w:bCs/>
              </w:rPr>
            </w:pPr>
            <w:r>
              <w:rPr>
                <w:rFonts w:eastAsiaTheme="minorEastAsia"/>
                <w:bCs/>
              </w:rPr>
              <w:t>矿物油类</w:t>
            </w:r>
          </w:p>
        </w:tc>
        <w:tc>
          <w:tcPr>
            <w:tcW w:w="3896" w:type="dxa"/>
            <w:tcBorders>
              <w:tl2br w:val="nil"/>
              <w:tr2bl w:val="nil"/>
            </w:tcBorders>
            <w:vAlign w:val="center"/>
          </w:tcPr>
          <w:p>
            <w:pPr>
              <w:pStyle w:val="23"/>
              <w:autoSpaceDE/>
              <w:autoSpaceDN/>
              <w:rPr>
                <w:rFonts w:eastAsiaTheme="minorEastAsia"/>
                <w:bCs/>
              </w:rPr>
            </w:pPr>
            <w:r>
              <w:rPr>
                <w:rFonts w:eastAsiaTheme="minorEastAsia"/>
                <w:bCs/>
              </w:rPr>
              <w:t>代表物质汽油、煤油、柴油、机油、煤焦油、原油等。一般为油状液体</w:t>
            </w:r>
            <w:r>
              <w:rPr>
                <w:rFonts w:hint="eastAsia" w:eastAsiaTheme="minorEastAsia"/>
                <w:bCs/>
              </w:rPr>
              <w:t>，</w:t>
            </w:r>
            <w:r>
              <w:rPr>
                <w:rFonts w:eastAsiaTheme="minorEastAsia"/>
                <w:bCs/>
              </w:rPr>
              <w:t>不溶或微溶于水。煤焦油呈膏状</w:t>
            </w:r>
            <w:r>
              <w:rPr>
                <w:rFonts w:hint="eastAsia" w:eastAsiaTheme="minorEastAsia"/>
                <w:bCs/>
              </w:rPr>
              <w:t>，</w:t>
            </w:r>
            <w:r>
              <w:rPr>
                <w:rFonts w:eastAsiaTheme="minorEastAsia"/>
                <w:bCs/>
              </w:rPr>
              <w:t>有特殊臭味</w:t>
            </w:r>
            <w:r>
              <w:rPr>
                <w:rFonts w:hint="eastAsia" w:eastAsiaTheme="minorEastAsia"/>
                <w:bCs/>
              </w:rPr>
              <w:t>，</w:t>
            </w:r>
            <w:r>
              <w:rPr>
                <w:rFonts w:eastAsiaTheme="minorEastAsia"/>
                <w:bCs/>
              </w:rPr>
              <w:t>密度大于水。该类物质易燃烧</w:t>
            </w:r>
            <w:r>
              <w:rPr>
                <w:rFonts w:hint="eastAsia" w:eastAsiaTheme="minorEastAsia"/>
                <w:bCs/>
              </w:rPr>
              <w:t>，</w:t>
            </w:r>
            <w:r>
              <w:rPr>
                <w:rFonts w:eastAsiaTheme="minorEastAsia"/>
                <w:bCs/>
              </w:rPr>
              <w:t>扩散速度快</w:t>
            </w:r>
            <w:r>
              <w:rPr>
                <w:rFonts w:hint="eastAsia" w:eastAsiaTheme="minorEastAsia"/>
                <w:bCs/>
              </w:rPr>
              <w:t>，</w:t>
            </w:r>
            <w:r>
              <w:rPr>
                <w:rFonts w:eastAsiaTheme="minorEastAsia"/>
                <w:bCs/>
              </w:rPr>
              <w:t>易在水面形成污染带</w:t>
            </w:r>
            <w:r>
              <w:rPr>
                <w:rFonts w:hint="eastAsia" w:eastAsiaTheme="minorEastAsia"/>
                <w:bCs/>
              </w:rPr>
              <w:t>，</w:t>
            </w:r>
            <w:r>
              <w:rPr>
                <w:rFonts w:eastAsiaTheme="minorEastAsia"/>
                <w:bCs/>
              </w:rPr>
              <w:t>隔绝水气界面</w:t>
            </w:r>
            <w:r>
              <w:rPr>
                <w:rFonts w:hint="eastAsia" w:eastAsiaTheme="minorEastAsia"/>
                <w:bCs/>
              </w:rPr>
              <w:t>，</w:t>
            </w:r>
            <w:r>
              <w:rPr>
                <w:rFonts w:eastAsiaTheme="minorEastAsia"/>
                <w:bCs/>
              </w:rPr>
              <w:t>造成水体缺氧。煤焦油沉在水底级慢溶解</w:t>
            </w:r>
            <w:r>
              <w:rPr>
                <w:rFonts w:hint="eastAsia" w:eastAsiaTheme="minorEastAsia"/>
                <w:bCs/>
              </w:rPr>
              <w:t>，</w:t>
            </w:r>
            <w:r>
              <w:rPr>
                <w:rFonts w:eastAsiaTheme="minorEastAsia"/>
                <w:bCs/>
              </w:rPr>
              <w:t>对水体造成长久危害</w:t>
            </w:r>
            <w:r>
              <w:rPr>
                <w:rFonts w:hint="eastAsia" w:eastAsiaTheme="minorEastAsia"/>
                <w:bCs/>
              </w:rPr>
              <w:t>，</w:t>
            </w:r>
            <w:r>
              <w:rPr>
                <w:rFonts w:eastAsiaTheme="minorEastAsia"/>
                <w:bCs/>
              </w:rPr>
              <w:t>并具有腐蚀性。</w:t>
            </w:r>
          </w:p>
        </w:tc>
        <w:tc>
          <w:tcPr>
            <w:tcW w:w="3415" w:type="dxa"/>
            <w:tcBorders>
              <w:tl2br w:val="nil"/>
              <w:tr2bl w:val="nil"/>
            </w:tcBorders>
            <w:vAlign w:val="center"/>
          </w:tcPr>
          <w:p>
            <w:pPr>
              <w:pStyle w:val="23"/>
              <w:autoSpaceDE/>
              <w:autoSpaceDN/>
              <w:rPr>
                <w:rFonts w:eastAsiaTheme="minorEastAsia"/>
                <w:bCs/>
              </w:rPr>
            </w:pPr>
            <w:r>
              <w:rPr>
                <w:rFonts w:eastAsiaTheme="minorEastAsia"/>
                <w:bCs/>
              </w:rPr>
              <w:t>应急处置时可关闭闸门或用简易坝、围油栏等围隔污染区</w:t>
            </w:r>
            <w:r>
              <w:rPr>
                <w:rFonts w:hint="eastAsia" w:eastAsiaTheme="minorEastAsia"/>
                <w:bCs/>
              </w:rPr>
              <w:t>，</w:t>
            </w:r>
            <w:r>
              <w:rPr>
                <w:rFonts w:eastAsiaTheme="minorEastAsia"/>
                <w:bCs/>
              </w:rPr>
              <w:t>用吸油棉等高吸油材料现场吸附</w:t>
            </w:r>
            <w:r>
              <w:rPr>
                <w:rFonts w:hint="eastAsia" w:eastAsiaTheme="minorEastAsia"/>
                <w:bCs/>
              </w:rPr>
              <w:t>，</w:t>
            </w:r>
            <w:r>
              <w:rPr>
                <w:rFonts w:eastAsiaTheme="minorEastAsia"/>
                <w:bCs/>
              </w:rPr>
              <w:t>并转移到安全地方焚烧处理。必要时可点燃表层油燃烧处理</w:t>
            </w:r>
            <w:r>
              <w:rPr>
                <w:rFonts w:hint="eastAsia" w:eastAsiaTheme="minorEastAsia"/>
                <w:bCs/>
              </w:rPr>
              <w:t>，</w:t>
            </w:r>
            <w:r>
              <w:rPr>
                <w:rFonts w:eastAsiaTheme="minorEastAsia"/>
                <w:bCs/>
              </w:rPr>
              <w:t>污染水体最后用活性炭吸附处理。煤焦油由于其中含有大量的酚类物质</w:t>
            </w:r>
            <w:r>
              <w:rPr>
                <w:rFonts w:hint="eastAsia" w:eastAsiaTheme="minorEastAsia"/>
                <w:bCs/>
              </w:rPr>
              <w:t>，</w:t>
            </w:r>
            <w:r>
              <w:rPr>
                <w:rFonts w:eastAsiaTheme="minorEastAsia"/>
                <w:bCs/>
              </w:rPr>
              <w:t>其处置过程可参考酚类物质。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893" w:hRule="atLeast"/>
        </w:trPr>
        <w:tc>
          <w:tcPr>
            <w:tcW w:w="425" w:type="dxa"/>
            <w:vMerge w:val="restart"/>
            <w:tcBorders>
              <w:tl2br w:val="nil"/>
              <w:tr2bl w:val="nil"/>
            </w:tcBorders>
            <w:vAlign w:val="center"/>
          </w:tcPr>
          <w:p>
            <w:pPr>
              <w:pStyle w:val="23"/>
              <w:autoSpaceDE/>
              <w:autoSpaceDN/>
              <w:rPr>
                <w:rFonts w:eastAsiaTheme="minorEastAsia"/>
                <w:bCs/>
              </w:rPr>
            </w:pPr>
            <w:r>
              <w:rPr>
                <w:rFonts w:eastAsiaTheme="minorEastAsia"/>
                <w:bCs/>
              </w:rPr>
              <w:t>10</w:t>
            </w:r>
          </w:p>
        </w:tc>
        <w:tc>
          <w:tcPr>
            <w:tcW w:w="867" w:type="dxa"/>
            <w:vMerge w:val="restart"/>
            <w:tcBorders>
              <w:tl2br w:val="nil"/>
              <w:tr2bl w:val="nil"/>
            </w:tcBorders>
            <w:vAlign w:val="center"/>
          </w:tcPr>
          <w:p>
            <w:pPr>
              <w:pStyle w:val="23"/>
              <w:autoSpaceDE/>
              <w:autoSpaceDN/>
              <w:rPr>
                <w:rFonts w:eastAsiaTheme="minorEastAsia"/>
                <w:bCs/>
              </w:rPr>
            </w:pPr>
            <w:r>
              <w:rPr>
                <w:rFonts w:eastAsiaTheme="minorEastAsia"/>
                <w:bCs/>
              </w:rPr>
              <w:t>腐蚀性物质（包括酸性物质、碱性物质和强氧化性物质）</w:t>
            </w:r>
          </w:p>
        </w:tc>
        <w:tc>
          <w:tcPr>
            <w:tcW w:w="3896" w:type="dxa"/>
            <w:tcBorders>
              <w:tl2br w:val="nil"/>
              <w:tr2bl w:val="nil"/>
            </w:tcBorders>
            <w:vAlign w:val="center"/>
          </w:tcPr>
          <w:p>
            <w:pPr>
              <w:pStyle w:val="23"/>
              <w:autoSpaceDE/>
              <w:autoSpaceDN/>
              <w:rPr>
                <w:rFonts w:eastAsiaTheme="minorEastAsia"/>
                <w:bCs/>
              </w:rPr>
            </w:pPr>
            <w:r>
              <w:rPr>
                <w:rFonts w:eastAsiaTheme="minorEastAsia"/>
                <w:bCs/>
              </w:rPr>
              <w:t>酸性物质有盐酸、硫酸、硝酸、磷酸等。浓盐酸和硝酸有酸性烟雾挥发出来</w:t>
            </w:r>
            <w:r>
              <w:rPr>
                <w:rFonts w:hint="eastAsia" w:eastAsiaTheme="minorEastAsia"/>
                <w:bCs/>
              </w:rPr>
              <w:t>，</w:t>
            </w:r>
            <w:r>
              <w:rPr>
                <w:rFonts w:eastAsiaTheme="minorEastAsia"/>
                <w:bCs/>
              </w:rPr>
              <w:t>浓硫酸密度大于水</w:t>
            </w:r>
            <w:r>
              <w:rPr>
                <w:rFonts w:hint="eastAsia" w:eastAsiaTheme="minorEastAsia"/>
                <w:bCs/>
              </w:rPr>
              <w:t>，</w:t>
            </w:r>
            <w:r>
              <w:rPr>
                <w:rFonts w:eastAsiaTheme="minorEastAsia"/>
                <w:bCs/>
              </w:rPr>
              <w:t>溶于水时产生大量热量。该类物质表现为强酸性和强腐蚀性</w:t>
            </w:r>
            <w:r>
              <w:rPr>
                <w:rFonts w:hint="eastAsia" w:eastAsiaTheme="minorEastAsia"/>
                <w:bCs/>
              </w:rPr>
              <w:t>，进入</w:t>
            </w:r>
            <w:r>
              <w:rPr>
                <w:rFonts w:eastAsiaTheme="minorEastAsia"/>
                <w:bCs/>
              </w:rPr>
              <w:t>水体后将引起水体酸度急剧上升</w:t>
            </w:r>
            <w:r>
              <w:rPr>
                <w:rFonts w:hint="eastAsia" w:eastAsiaTheme="minorEastAsia"/>
                <w:bCs/>
              </w:rPr>
              <w:t>，</w:t>
            </w:r>
            <w:r>
              <w:rPr>
                <w:rFonts w:eastAsiaTheme="minorEastAsia"/>
                <w:bCs/>
              </w:rPr>
              <w:t>严重腐蚀水工建筑物</w:t>
            </w:r>
            <w:r>
              <w:rPr>
                <w:rFonts w:hint="eastAsia" w:eastAsiaTheme="minorEastAsia"/>
                <w:bCs/>
              </w:rPr>
              <w:t>，</w:t>
            </w:r>
            <w:r>
              <w:rPr>
                <w:rFonts w:eastAsiaTheme="minorEastAsia"/>
                <w:bCs/>
              </w:rPr>
              <w:t>破坏水生态系统</w:t>
            </w:r>
            <w:r>
              <w:rPr>
                <w:rFonts w:hint="eastAsia" w:eastAsiaTheme="minorEastAsia"/>
                <w:bCs/>
              </w:rPr>
              <w:t>，</w:t>
            </w:r>
            <w:r>
              <w:rPr>
                <w:rFonts w:eastAsiaTheme="minorEastAsia"/>
                <w:bCs/>
              </w:rPr>
              <w:t>但在基质中碳酸钙的作用下其酸性和腐蚀能力会逐渐降低。</w:t>
            </w:r>
          </w:p>
        </w:tc>
        <w:tc>
          <w:tcPr>
            <w:tcW w:w="3415" w:type="dxa"/>
            <w:tcBorders>
              <w:tl2br w:val="nil"/>
              <w:tr2bl w:val="nil"/>
            </w:tcBorders>
            <w:vAlign w:val="center"/>
          </w:tcPr>
          <w:p>
            <w:pPr>
              <w:pStyle w:val="23"/>
              <w:autoSpaceDE/>
              <w:autoSpaceDN/>
              <w:rPr>
                <w:rFonts w:eastAsiaTheme="minorEastAsia"/>
                <w:bCs/>
              </w:rPr>
            </w:pPr>
            <w:r>
              <w:rPr>
                <w:rFonts w:eastAsiaTheme="minorEastAsia"/>
                <w:bCs/>
              </w:rPr>
              <w:t>应急人员戴防护手套</w:t>
            </w:r>
            <w:r>
              <w:rPr>
                <w:rFonts w:hint="eastAsia" w:eastAsiaTheme="minorEastAsia"/>
                <w:bCs/>
              </w:rPr>
              <w:t>，</w:t>
            </w:r>
            <w:r>
              <w:rPr>
                <w:rFonts w:eastAsiaTheme="minorEastAsia"/>
                <w:bCs/>
              </w:rPr>
              <w:t>处置挥发性酸时戴防毒面具</w:t>
            </w:r>
            <w:r>
              <w:rPr>
                <w:rFonts w:hint="eastAsia" w:eastAsiaTheme="minorEastAsia"/>
                <w:bCs/>
              </w:rPr>
              <w:t>，</w:t>
            </w:r>
            <w:r>
              <w:rPr>
                <w:rFonts w:eastAsiaTheme="minorEastAsia"/>
                <w:bCs/>
              </w:rPr>
              <w:t>污染区投加碱性物质如生石灰、碳酸钠等中和。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818" w:hRule="atLeast"/>
        </w:trPr>
        <w:tc>
          <w:tcPr>
            <w:tcW w:w="425" w:type="dxa"/>
            <w:vMerge w:val="continue"/>
            <w:tcBorders>
              <w:tl2br w:val="nil"/>
              <w:tr2bl w:val="nil"/>
            </w:tcBorders>
            <w:vAlign w:val="center"/>
          </w:tcPr>
          <w:p>
            <w:pPr>
              <w:pStyle w:val="23"/>
              <w:autoSpaceDE/>
              <w:autoSpaceDN/>
              <w:rPr>
                <w:rFonts w:eastAsiaTheme="minorEastAsia"/>
                <w:bCs/>
              </w:rPr>
            </w:pPr>
          </w:p>
        </w:tc>
        <w:tc>
          <w:tcPr>
            <w:tcW w:w="867" w:type="dxa"/>
            <w:vMerge w:val="continue"/>
            <w:tcBorders>
              <w:tl2br w:val="nil"/>
              <w:tr2bl w:val="nil"/>
            </w:tcBorders>
            <w:vAlign w:val="center"/>
          </w:tcPr>
          <w:p>
            <w:pPr>
              <w:pStyle w:val="23"/>
              <w:autoSpaceDE/>
              <w:autoSpaceDN/>
              <w:rPr>
                <w:rFonts w:eastAsiaTheme="minorEastAsia"/>
                <w:bCs/>
              </w:rPr>
            </w:pPr>
          </w:p>
        </w:tc>
        <w:tc>
          <w:tcPr>
            <w:tcW w:w="3896" w:type="dxa"/>
            <w:tcBorders>
              <w:tl2br w:val="nil"/>
              <w:tr2bl w:val="nil"/>
            </w:tcBorders>
            <w:vAlign w:val="center"/>
          </w:tcPr>
          <w:p>
            <w:pPr>
              <w:pStyle w:val="23"/>
              <w:autoSpaceDE/>
              <w:autoSpaceDN/>
              <w:rPr>
                <w:rFonts w:eastAsiaTheme="minorEastAsia"/>
                <w:bCs/>
              </w:rPr>
            </w:pPr>
            <w:r>
              <w:rPr>
                <w:rFonts w:eastAsiaTheme="minorEastAsia"/>
                <w:bCs/>
              </w:rPr>
              <w:t>碱性物质有氢氧化钠、氢氧化钾、电石等。氢氧化钠和氢氧化钾为白色颗粒</w:t>
            </w:r>
            <w:r>
              <w:rPr>
                <w:rFonts w:hint="eastAsia" w:eastAsiaTheme="minorEastAsia"/>
                <w:bCs/>
              </w:rPr>
              <w:t>，</w:t>
            </w:r>
            <w:r>
              <w:rPr>
                <w:rFonts w:eastAsiaTheme="minorEastAsia"/>
                <w:bCs/>
              </w:rPr>
              <w:t>易潮解</w:t>
            </w:r>
            <w:r>
              <w:rPr>
                <w:rFonts w:hint="eastAsia" w:eastAsiaTheme="minorEastAsia"/>
                <w:bCs/>
              </w:rPr>
              <w:t>，</w:t>
            </w:r>
            <w:r>
              <w:rPr>
                <w:rFonts w:eastAsiaTheme="minorEastAsia"/>
                <w:bCs/>
              </w:rPr>
              <w:t>易溶于水</w:t>
            </w:r>
            <w:r>
              <w:rPr>
                <w:rFonts w:hint="eastAsia" w:eastAsiaTheme="minorEastAsia"/>
                <w:bCs/>
              </w:rPr>
              <w:t>，</w:t>
            </w:r>
            <w:r>
              <w:rPr>
                <w:rFonts w:eastAsiaTheme="minorEastAsia"/>
                <w:bCs/>
              </w:rPr>
              <w:t>多以溶液状态罐车运输。</w:t>
            </w:r>
          </w:p>
        </w:tc>
        <w:tc>
          <w:tcPr>
            <w:tcW w:w="3415" w:type="dxa"/>
            <w:tcBorders>
              <w:tl2br w:val="nil"/>
              <w:tr2bl w:val="nil"/>
            </w:tcBorders>
            <w:vAlign w:val="center"/>
          </w:tcPr>
          <w:p>
            <w:pPr>
              <w:pStyle w:val="23"/>
              <w:autoSpaceDE/>
              <w:autoSpaceDN/>
              <w:rPr>
                <w:rFonts w:eastAsiaTheme="minorEastAsia"/>
                <w:bCs/>
              </w:rPr>
            </w:pPr>
            <w:r>
              <w:rPr>
                <w:rFonts w:eastAsiaTheme="minorEastAsia"/>
                <w:bCs/>
              </w:rPr>
              <w:t>应急人员应带防护手套</w:t>
            </w:r>
            <w:r>
              <w:rPr>
                <w:rFonts w:hint="eastAsia" w:eastAsiaTheme="minorEastAsia"/>
                <w:bCs/>
              </w:rPr>
              <w:t>，</w:t>
            </w:r>
            <w:r>
              <w:rPr>
                <w:rFonts w:eastAsiaTheme="minorEastAsia"/>
                <w:bCs/>
              </w:rPr>
              <w:t>在污染区投加酸性物质（如稀盐酸、稀硫酸等）中和处理。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356" w:hRule="atLeast"/>
        </w:trPr>
        <w:tc>
          <w:tcPr>
            <w:tcW w:w="425" w:type="dxa"/>
            <w:vMerge w:val="continue"/>
            <w:tcBorders>
              <w:tl2br w:val="nil"/>
              <w:tr2bl w:val="nil"/>
            </w:tcBorders>
            <w:vAlign w:val="center"/>
          </w:tcPr>
          <w:p>
            <w:pPr>
              <w:pStyle w:val="23"/>
              <w:autoSpaceDE/>
              <w:autoSpaceDN/>
              <w:rPr>
                <w:rFonts w:eastAsiaTheme="minorEastAsia"/>
                <w:bCs/>
              </w:rPr>
            </w:pPr>
          </w:p>
        </w:tc>
        <w:tc>
          <w:tcPr>
            <w:tcW w:w="867" w:type="dxa"/>
            <w:vMerge w:val="continue"/>
            <w:tcBorders>
              <w:tl2br w:val="nil"/>
              <w:tr2bl w:val="nil"/>
            </w:tcBorders>
            <w:vAlign w:val="center"/>
          </w:tcPr>
          <w:p>
            <w:pPr>
              <w:pStyle w:val="23"/>
              <w:autoSpaceDE/>
              <w:autoSpaceDN/>
              <w:rPr>
                <w:rFonts w:eastAsiaTheme="minorEastAsia"/>
                <w:bCs/>
              </w:rPr>
            </w:pPr>
          </w:p>
        </w:tc>
        <w:tc>
          <w:tcPr>
            <w:tcW w:w="3896" w:type="dxa"/>
            <w:tcBorders>
              <w:tl2br w:val="nil"/>
              <w:tr2bl w:val="nil"/>
            </w:tcBorders>
            <w:vAlign w:val="center"/>
          </w:tcPr>
          <w:p>
            <w:pPr>
              <w:pStyle w:val="23"/>
              <w:autoSpaceDE/>
              <w:autoSpaceDN/>
              <w:rPr>
                <w:rFonts w:eastAsiaTheme="minorEastAsia"/>
                <w:bCs/>
              </w:rPr>
            </w:pPr>
            <w:r>
              <w:rPr>
                <w:rFonts w:eastAsiaTheme="minorEastAsia"/>
                <w:bCs/>
              </w:rPr>
              <w:t>强氧化性物质有次氯酸钠、硝酸钾、重铬酸钾和高锰酸钾等。高锰酸钾为紫色晶体</w:t>
            </w:r>
            <w:r>
              <w:rPr>
                <w:rFonts w:hint="eastAsia" w:eastAsiaTheme="minorEastAsia"/>
                <w:bCs/>
              </w:rPr>
              <w:t>，</w:t>
            </w:r>
            <w:r>
              <w:rPr>
                <w:rFonts w:eastAsiaTheme="minorEastAsia"/>
                <w:bCs/>
              </w:rPr>
              <w:t>重铬酸钾为鲜红色晶体</w:t>
            </w:r>
            <w:r>
              <w:rPr>
                <w:rFonts w:hint="eastAsia" w:eastAsiaTheme="minorEastAsia"/>
                <w:bCs/>
              </w:rPr>
              <w:t>，</w:t>
            </w:r>
            <w:r>
              <w:rPr>
                <w:rFonts w:eastAsiaTheme="minorEastAsia"/>
                <w:bCs/>
              </w:rPr>
              <w:t>其余为白色晶体。该类物质一般易溶于水</w:t>
            </w:r>
            <w:r>
              <w:rPr>
                <w:rFonts w:hint="eastAsia" w:eastAsiaTheme="minorEastAsia"/>
                <w:bCs/>
              </w:rPr>
              <w:t>，</w:t>
            </w:r>
            <w:r>
              <w:rPr>
                <w:rFonts w:eastAsiaTheme="minorEastAsia"/>
                <w:bCs/>
              </w:rPr>
              <w:t>具有强氧化性</w:t>
            </w:r>
            <w:r>
              <w:rPr>
                <w:rFonts w:hint="eastAsia" w:eastAsiaTheme="minorEastAsia"/>
                <w:bCs/>
              </w:rPr>
              <w:t>，</w:t>
            </w:r>
            <w:r>
              <w:rPr>
                <w:rFonts w:eastAsiaTheme="minorEastAsia"/>
                <w:bCs/>
              </w:rPr>
              <w:t>腐蚀水工建筑物中的金属构件</w:t>
            </w:r>
            <w:r>
              <w:rPr>
                <w:rFonts w:hint="eastAsia" w:eastAsiaTheme="minorEastAsia"/>
                <w:bCs/>
              </w:rPr>
              <w:t>，</w:t>
            </w:r>
            <w:r>
              <w:rPr>
                <w:rFonts w:eastAsiaTheme="minorEastAsia"/>
                <w:bCs/>
              </w:rPr>
              <w:t>重铬酸钾还能引起环境中铬类污染物的富集。</w:t>
            </w:r>
          </w:p>
        </w:tc>
        <w:tc>
          <w:tcPr>
            <w:tcW w:w="3415" w:type="dxa"/>
            <w:tcBorders>
              <w:tl2br w:val="nil"/>
              <w:tr2bl w:val="nil"/>
            </w:tcBorders>
            <w:vAlign w:val="center"/>
          </w:tcPr>
          <w:p>
            <w:pPr>
              <w:pStyle w:val="23"/>
              <w:autoSpaceDE/>
              <w:autoSpaceDN/>
              <w:rPr>
                <w:rFonts w:eastAsiaTheme="minorEastAsia"/>
                <w:bCs/>
              </w:rPr>
            </w:pPr>
            <w:r>
              <w:rPr>
                <w:rFonts w:eastAsiaTheme="minorEastAsia"/>
                <w:bCs/>
              </w:rPr>
              <w:t>应急人员应带防护手套</w:t>
            </w:r>
            <w:r>
              <w:rPr>
                <w:rFonts w:hint="eastAsia" w:eastAsiaTheme="minorEastAsia"/>
                <w:bCs/>
              </w:rPr>
              <w:t>，</w:t>
            </w:r>
            <w:r>
              <w:rPr>
                <w:rFonts w:eastAsiaTheme="minorEastAsia"/>
                <w:bCs/>
              </w:rPr>
              <w:t>干态污染物应避免和有机物、金属粉末、易燃物等接触</w:t>
            </w:r>
            <w:r>
              <w:rPr>
                <w:rFonts w:hint="eastAsia" w:eastAsiaTheme="minorEastAsia"/>
                <w:bCs/>
              </w:rPr>
              <w:t>，</w:t>
            </w:r>
            <w:r>
              <w:rPr>
                <w:rFonts w:eastAsiaTheme="minorEastAsia"/>
                <w:bCs/>
              </w:rPr>
              <w:t>以免发生爆炸。</w:t>
            </w:r>
            <w:r>
              <w:rPr>
                <w:rFonts w:hint="eastAsia" w:eastAsiaTheme="minorEastAsia"/>
                <w:bCs/>
              </w:rPr>
              <w:t>进入</w:t>
            </w:r>
            <w:r>
              <w:rPr>
                <w:rFonts w:eastAsiaTheme="minorEastAsia"/>
                <w:bCs/>
              </w:rPr>
              <w:t>水体后可投加草酸钠还原。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425" w:type="dxa"/>
            <w:tcBorders>
              <w:tl2br w:val="nil"/>
              <w:tr2bl w:val="nil"/>
            </w:tcBorders>
            <w:vAlign w:val="center"/>
          </w:tcPr>
          <w:p>
            <w:pPr>
              <w:pStyle w:val="23"/>
              <w:autoSpaceDE/>
              <w:autoSpaceDN/>
              <w:rPr>
                <w:rFonts w:eastAsiaTheme="minorEastAsia"/>
                <w:bCs/>
              </w:rPr>
            </w:pPr>
            <w:r>
              <w:rPr>
                <w:rFonts w:eastAsiaTheme="minorEastAsia"/>
                <w:bCs/>
              </w:rPr>
              <w:t>11</w:t>
            </w:r>
          </w:p>
        </w:tc>
        <w:tc>
          <w:tcPr>
            <w:tcW w:w="8178" w:type="dxa"/>
            <w:gridSpan w:val="3"/>
            <w:tcBorders>
              <w:tl2br w:val="nil"/>
              <w:tr2bl w:val="nil"/>
            </w:tcBorders>
            <w:vAlign w:val="center"/>
          </w:tcPr>
          <w:p>
            <w:pPr>
              <w:pStyle w:val="23"/>
              <w:autoSpaceDE/>
              <w:autoSpaceDN/>
              <w:rPr>
                <w:rFonts w:eastAsiaTheme="minorEastAsia"/>
                <w:bCs/>
              </w:rPr>
            </w:pPr>
            <w:r>
              <w:rPr>
                <w:rFonts w:eastAsiaTheme="minorEastAsia"/>
                <w:bCs/>
              </w:rPr>
              <w:t>除上述常见的十类化学品外</w:t>
            </w:r>
            <w:r>
              <w:rPr>
                <w:rFonts w:hint="eastAsia" w:eastAsiaTheme="minorEastAsia"/>
                <w:bCs/>
              </w:rPr>
              <w:t>，</w:t>
            </w:r>
            <w:r>
              <w:rPr>
                <w:rFonts w:eastAsiaTheme="minorEastAsia"/>
                <w:bCs/>
              </w:rPr>
              <w:t>各类病毒、细菌造成的水体污染可投加漂白粉、生石灰等消毒处置。</w:t>
            </w:r>
          </w:p>
        </w:tc>
      </w:tr>
    </w:tbl>
    <w:p>
      <w:pPr>
        <w:pStyle w:val="24"/>
        <w:ind w:firstLine="0" w:firstLineChars="0"/>
        <w:rPr>
          <w:rFonts w:cs="Times New Roman"/>
          <w:b/>
          <w:bCs/>
          <w:lang w:val="en-US"/>
        </w:rPr>
        <w:sectPr>
          <w:pgSz w:w="11906" w:h="16838"/>
          <w:pgMar w:top="1440" w:right="1800" w:bottom="1440" w:left="1800" w:header="1134" w:footer="992" w:gutter="0"/>
          <w:pgNumType w:fmt="numberInDash"/>
          <w:cols w:space="425" w:num="1"/>
          <w:docGrid w:type="lines" w:linePitch="312" w:charSpace="0"/>
        </w:sectPr>
      </w:pPr>
    </w:p>
    <w:p>
      <w:pPr>
        <w:pStyle w:val="3"/>
        <w:jc w:val="both"/>
        <w:rPr>
          <w:sz w:val="32"/>
          <w:szCs w:val="32"/>
        </w:rPr>
      </w:pPr>
      <w:bookmarkStart w:id="249" w:name="_Toc27500"/>
      <w:bookmarkStart w:id="250" w:name="_Toc72337768"/>
      <w:bookmarkStart w:id="251" w:name="_Toc24491"/>
      <w:r>
        <w:rPr>
          <w:rFonts w:hint="eastAsia"/>
          <w:sz w:val="32"/>
          <w:szCs w:val="32"/>
        </w:rPr>
        <w:t xml:space="preserve">附件 </w:t>
      </w:r>
      <w:r>
        <w:rPr>
          <w:rFonts w:hint="eastAsia"/>
          <w:sz w:val="32"/>
          <w:szCs w:val="32"/>
          <w:lang w:val="en-US"/>
        </w:rPr>
        <w:t>7</w:t>
      </w:r>
      <w:r>
        <w:rPr>
          <w:rFonts w:hint="eastAsia"/>
          <w:sz w:val="32"/>
          <w:szCs w:val="32"/>
        </w:rPr>
        <w:t xml:space="preserve"> 风险防控应急体系建设</w:t>
      </w:r>
      <w:bookmarkEnd w:id="249"/>
      <w:bookmarkEnd w:id="250"/>
      <w:bookmarkEnd w:id="251"/>
    </w:p>
    <w:p>
      <w:pPr>
        <w:spacing w:line="360" w:lineRule="auto"/>
        <w:ind w:left="680"/>
        <w:rPr>
          <w:b/>
          <w:sz w:val="24"/>
          <w:szCs w:val="24"/>
        </w:rPr>
      </w:pPr>
      <w:r>
        <w:rPr>
          <w:rFonts w:hint="eastAsia"/>
          <w:b/>
          <w:sz w:val="24"/>
          <w:szCs w:val="24"/>
        </w:rPr>
        <w:t>1、风险源应急防控</w:t>
      </w:r>
    </w:p>
    <w:p>
      <w:pPr>
        <w:pStyle w:val="7"/>
        <w:spacing w:line="360" w:lineRule="auto"/>
        <w:ind w:firstLine="631"/>
        <w:jc w:val="both"/>
        <w:rPr>
          <w:b/>
          <w:bCs/>
          <w:spacing w:val="6"/>
          <w:sz w:val="24"/>
          <w:szCs w:val="24"/>
        </w:rPr>
      </w:pPr>
      <w:r>
        <w:rPr>
          <w:rFonts w:hint="eastAsia"/>
          <w:b/>
          <w:bCs/>
          <w:spacing w:val="6"/>
          <w:sz w:val="24"/>
          <w:szCs w:val="24"/>
        </w:rPr>
        <w:t>（1）防范措施</w:t>
      </w:r>
    </w:p>
    <w:p>
      <w:pPr>
        <w:pStyle w:val="7"/>
        <w:spacing w:line="360" w:lineRule="auto"/>
        <w:ind w:firstLine="631"/>
        <w:jc w:val="both"/>
        <w:rPr>
          <w:b/>
          <w:bCs/>
          <w:spacing w:val="6"/>
          <w:sz w:val="24"/>
          <w:szCs w:val="24"/>
        </w:rPr>
      </w:pPr>
      <w:r>
        <w:rPr>
          <w:rFonts w:hint="eastAsia"/>
          <w:b/>
          <w:bCs/>
          <w:spacing w:val="6"/>
          <w:sz w:val="24"/>
          <w:szCs w:val="24"/>
        </w:rPr>
        <w:t>流动风险源</w:t>
      </w:r>
    </w:p>
    <w:p>
      <w:pPr>
        <w:autoSpaceDE/>
        <w:autoSpaceDN/>
        <w:spacing w:line="360" w:lineRule="auto"/>
        <w:ind w:firstLine="480" w:firstLineChars="200"/>
        <w:jc w:val="both"/>
        <w:rPr>
          <w:rFonts w:ascii="Times New Roman" w:hAnsi="Times New Roman" w:cs="Times New Roman"/>
          <w:kern w:val="21"/>
          <w:sz w:val="24"/>
          <w:szCs w:val="24"/>
          <w:lang w:val="en-US" w:bidi="ar-SA"/>
        </w:rPr>
      </w:pPr>
      <w:r>
        <w:rPr>
          <w:rFonts w:ascii="Times New Roman" w:hAnsi="Times New Roman" w:cs="Times New Roman"/>
          <w:kern w:val="21"/>
          <w:sz w:val="24"/>
          <w:szCs w:val="24"/>
          <w:lang w:val="en-US" w:bidi="ar-SA"/>
        </w:rPr>
        <w:t>环保、公安、交通等部门应根据职责，加强流动风险源管理，在水源保护区入口设置车辆检测点；责令流动源单位落实专业运输车辆、船舶和运输人员的资质要求和应急培训。运输人员应了解所运输物品的特性及其包装物、容器的使用要求，以及出现危险情况时的应急处置方法。在跨水体的路桥、管道周边建设围堰等应急防护措施，防止有毒有害物质泄漏进入水体，经常发生翻车（船）事故的路、桥和危险化学品运输码头，可采取改道、迁移等措施。</w:t>
      </w:r>
    </w:p>
    <w:p>
      <w:pPr>
        <w:autoSpaceDE/>
        <w:autoSpaceDN/>
        <w:spacing w:line="360" w:lineRule="auto"/>
        <w:ind w:firstLine="480" w:firstLineChars="200"/>
        <w:jc w:val="both"/>
        <w:rPr>
          <w:rFonts w:ascii="Times New Roman" w:hAnsi="Times New Roman" w:cs="Times New Roman"/>
          <w:kern w:val="21"/>
          <w:sz w:val="24"/>
          <w:szCs w:val="24"/>
          <w:lang w:val="en-US" w:bidi="ar-SA"/>
        </w:rPr>
      </w:pPr>
      <w:r>
        <w:rPr>
          <w:rFonts w:ascii="Times New Roman" w:hAnsi="Times New Roman" w:cs="Times New Roman"/>
          <w:kern w:val="21"/>
          <w:sz w:val="24"/>
          <w:szCs w:val="24"/>
          <w:lang w:val="en-US" w:bidi="ar-SA"/>
        </w:rPr>
        <w:t>危险品运输工具应安装卫星定位装置，并根据运输物品的危险性采取相应的安全防护措施，配备必要的防护用品和应急救援器材。必要时可以限制车辆的运输路线和运输时段，严禁非法倾倒污染物。</w:t>
      </w:r>
    </w:p>
    <w:p>
      <w:pPr>
        <w:autoSpaceDE/>
        <w:autoSpaceDN/>
        <w:spacing w:line="360" w:lineRule="auto"/>
        <w:ind w:firstLine="480" w:firstLineChars="200"/>
        <w:jc w:val="both"/>
        <w:rPr>
          <w:rFonts w:ascii="Times New Roman" w:hAnsi="Times New Roman" w:cs="Times New Roman"/>
          <w:kern w:val="21"/>
          <w:sz w:val="24"/>
          <w:szCs w:val="24"/>
          <w:lang w:val="en-US" w:bidi="ar-SA"/>
        </w:rPr>
      </w:pPr>
      <w:r>
        <w:rPr>
          <w:rFonts w:ascii="Times New Roman" w:hAnsi="Times New Roman" w:cs="Times New Roman"/>
          <w:kern w:val="21"/>
          <w:sz w:val="24"/>
          <w:szCs w:val="24"/>
          <w:lang w:val="en-US" w:bidi="ar-SA"/>
        </w:rPr>
        <w:t>如果污染物进入水体，应对措施如下：</w:t>
      </w:r>
    </w:p>
    <w:p>
      <w:pPr>
        <w:pStyle w:val="7"/>
        <w:spacing w:line="360" w:lineRule="auto"/>
        <w:ind w:firstLine="631"/>
        <w:jc w:val="both"/>
        <w:rPr>
          <w:b/>
          <w:bCs/>
          <w:spacing w:val="6"/>
          <w:sz w:val="24"/>
          <w:szCs w:val="24"/>
        </w:rPr>
      </w:pPr>
      <w:r>
        <w:rPr>
          <w:b/>
          <w:bCs/>
          <w:spacing w:val="6"/>
          <w:sz w:val="24"/>
          <w:szCs w:val="24"/>
        </w:rPr>
        <w:t>浮油类物质泄漏事故</w:t>
      </w:r>
    </w:p>
    <w:p>
      <w:pPr>
        <w:autoSpaceDE/>
        <w:autoSpaceDN/>
        <w:spacing w:line="360" w:lineRule="auto"/>
        <w:ind w:firstLine="480" w:firstLineChars="200"/>
        <w:jc w:val="both"/>
        <w:rPr>
          <w:rFonts w:ascii="Times New Roman" w:hAnsi="Times New Roman" w:cs="Times New Roman"/>
          <w:kern w:val="21"/>
          <w:sz w:val="24"/>
          <w:szCs w:val="24"/>
          <w:lang w:val="en-US" w:bidi="ar-SA"/>
        </w:rPr>
      </w:pPr>
      <w:r>
        <w:rPr>
          <w:rFonts w:ascii="Times New Roman" w:hAnsi="Times New Roman" w:cs="Times New Roman"/>
          <w:kern w:val="21"/>
          <w:sz w:val="24"/>
          <w:szCs w:val="24"/>
          <w:lang w:val="en-US" w:bidi="ar-SA"/>
        </w:rPr>
        <w:t>①由城建局组织在事故发生的水域及时采取用围油栏控制溢油，然后用撇油器回收、用围油栏保护敏感区域、用吸油毡吸油并回收等措施，防止污染扩大。</w:t>
      </w:r>
    </w:p>
    <w:p>
      <w:pPr>
        <w:autoSpaceDE/>
        <w:autoSpaceDN/>
        <w:spacing w:line="360" w:lineRule="auto"/>
        <w:ind w:firstLine="480" w:firstLineChars="200"/>
        <w:jc w:val="both"/>
        <w:rPr>
          <w:rFonts w:ascii="Times New Roman" w:hAnsi="Times New Roman" w:cs="Times New Roman"/>
          <w:kern w:val="21"/>
          <w:sz w:val="24"/>
          <w:szCs w:val="24"/>
          <w:lang w:val="en-US" w:bidi="ar-SA"/>
        </w:rPr>
      </w:pPr>
      <w:r>
        <w:rPr>
          <w:rFonts w:ascii="Times New Roman" w:hAnsi="Times New Roman" w:cs="Times New Roman"/>
          <w:kern w:val="21"/>
          <w:sz w:val="24"/>
          <w:szCs w:val="24"/>
          <w:lang w:val="en-US" w:bidi="ar-SA"/>
        </w:rPr>
        <w:t>②关闭河道有关闸门，较小河道可采取筑坝措施，隔断水流，防止污染物进入饮用水水源地地。</w:t>
      </w:r>
    </w:p>
    <w:p>
      <w:pPr>
        <w:autoSpaceDE/>
        <w:autoSpaceDN/>
        <w:spacing w:line="360" w:lineRule="auto"/>
        <w:ind w:firstLine="480" w:firstLineChars="200"/>
        <w:jc w:val="both"/>
        <w:rPr>
          <w:rFonts w:ascii="Times New Roman" w:hAnsi="Times New Roman" w:cs="Times New Roman"/>
          <w:kern w:val="21"/>
          <w:sz w:val="24"/>
          <w:szCs w:val="24"/>
          <w:lang w:val="en-US" w:bidi="ar-SA"/>
        </w:rPr>
      </w:pPr>
      <w:r>
        <w:rPr>
          <w:rFonts w:ascii="Times New Roman" w:hAnsi="Times New Roman" w:cs="Times New Roman"/>
          <w:kern w:val="21"/>
          <w:sz w:val="24"/>
          <w:szCs w:val="24"/>
          <w:lang w:val="en-US" w:bidi="ar-SA"/>
        </w:rPr>
        <w:t>③经专家论证，在环境许可的情况下，使用化学消油剂消除漂浮油污。少量残油通过喷洒溢油分散剂进行乳化处理。</w:t>
      </w:r>
    </w:p>
    <w:p>
      <w:pPr>
        <w:pStyle w:val="7"/>
        <w:spacing w:line="360" w:lineRule="auto"/>
        <w:ind w:firstLine="631"/>
        <w:jc w:val="both"/>
        <w:rPr>
          <w:b/>
          <w:bCs/>
          <w:spacing w:val="6"/>
          <w:sz w:val="24"/>
          <w:szCs w:val="24"/>
        </w:rPr>
      </w:pPr>
      <w:r>
        <w:rPr>
          <w:b/>
          <w:bCs/>
          <w:spacing w:val="6"/>
          <w:sz w:val="24"/>
          <w:szCs w:val="24"/>
        </w:rPr>
        <w:t>溶于水的化学品</w:t>
      </w:r>
    </w:p>
    <w:p>
      <w:pPr>
        <w:autoSpaceDE/>
        <w:autoSpaceDN/>
        <w:spacing w:line="360" w:lineRule="auto"/>
        <w:ind w:firstLine="480" w:firstLineChars="200"/>
        <w:jc w:val="both"/>
        <w:rPr>
          <w:rFonts w:ascii="Times New Roman" w:hAnsi="Times New Roman" w:cs="Times New Roman"/>
          <w:kern w:val="21"/>
          <w:sz w:val="24"/>
          <w:szCs w:val="24"/>
          <w:lang w:val="en-US" w:bidi="ar-SA"/>
        </w:rPr>
      </w:pPr>
      <w:r>
        <w:rPr>
          <w:rFonts w:ascii="Times New Roman" w:hAnsi="Times New Roman" w:cs="Times New Roman"/>
          <w:kern w:val="21"/>
          <w:sz w:val="24"/>
          <w:szCs w:val="24"/>
          <w:lang w:val="en-US" w:bidi="ar-SA"/>
        </w:rPr>
        <w:t>①关闭河道有关闸门，较小河道可采取筑坝措施，隔断水流，控制污染范围，防止污染物进入饮用水水源地地。</w:t>
      </w:r>
    </w:p>
    <w:p>
      <w:pPr>
        <w:autoSpaceDE/>
        <w:autoSpaceDN/>
        <w:spacing w:line="360" w:lineRule="auto"/>
        <w:ind w:firstLine="480" w:firstLineChars="200"/>
        <w:jc w:val="both"/>
        <w:rPr>
          <w:rFonts w:ascii="Times New Roman" w:hAnsi="Times New Roman" w:cs="Times New Roman"/>
          <w:kern w:val="21"/>
          <w:sz w:val="24"/>
          <w:szCs w:val="24"/>
          <w:lang w:val="en-US" w:bidi="ar-SA"/>
        </w:rPr>
      </w:pPr>
      <w:r>
        <w:rPr>
          <w:rFonts w:ascii="Times New Roman" w:hAnsi="Times New Roman" w:cs="Times New Roman"/>
          <w:kern w:val="21"/>
          <w:sz w:val="24"/>
          <w:szCs w:val="24"/>
          <w:lang w:val="en-US" w:bidi="ar-SA"/>
        </w:rPr>
        <w:t>②消解污染物。酸碱类物质可采取中和的方法安全处理；投加化学药剂， 使有毒化学品分解为无毒物质。</w:t>
      </w:r>
    </w:p>
    <w:p>
      <w:pPr>
        <w:autoSpaceDE/>
        <w:autoSpaceDN/>
        <w:spacing w:line="360" w:lineRule="auto"/>
        <w:ind w:firstLine="480" w:firstLineChars="200"/>
        <w:jc w:val="both"/>
        <w:rPr>
          <w:rFonts w:ascii="Times New Roman" w:hAnsi="Times New Roman" w:cs="Times New Roman"/>
          <w:kern w:val="21"/>
          <w:sz w:val="24"/>
          <w:szCs w:val="24"/>
          <w:lang w:val="en-US" w:bidi="ar-SA"/>
        </w:rPr>
      </w:pPr>
      <w:r>
        <w:rPr>
          <w:rFonts w:ascii="Times New Roman" w:hAnsi="Times New Roman" w:cs="Times New Roman"/>
          <w:kern w:val="21"/>
          <w:sz w:val="24"/>
          <w:szCs w:val="24"/>
          <w:lang w:val="en-US" w:bidi="ar-SA"/>
        </w:rPr>
        <w:t>③科学调水，分散稀释，置换水体，科学利用环境容量，使水质达到环境标准。</w:t>
      </w:r>
    </w:p>
    <w:p>
      <w:pPr>
        <w:pStyle w:val="7"/>
        <w:spacing w:line="360" w:lineRule="auto"/>
        <w:ind w:firstLine="631"/>
        <w:jc w:val="both"/>
        <w:rPr>
          <w:b/>
          <w:bCs/>
          <w:spacing w:val="6"/>
          <w:sz w:val="24"/>
          <w:szCs w:val="24"/>
        </w:rPr>
      </w:pPr>
      <w:r>
        <w:rPr>
          <w:b/>
          <w:bCs/>
          <w:spacing w:val="6"/>
          <w:sz w:val="24"/>
          <w:szCs w:val="24"/>
        </w:rPr>
        <w:t>易沉降的化学品泄漏事故</w:t>
      </w:r>
    </w:p>
    <w:p>
      <w:pPr>
        <w:autoSpaceDE/>
        <w:autoSpaceDN/>
        <w:spacing w:line="360" w:lineRule="auto"/>
        <w:ind w:firstLine="480" w:firstLineChars="200"/>
        <w:jc w:val="both"/>
        <w:rPr>
          <w:rFonts w:ascii="Times New Roman" w:hAnsi="Times New Roman" w:cs="Times New Roman"/>
          <w:kern w:val="21"/>
          <w:sz w:val="24"/>
          <w:szCs w:val="24"/>
          <w:lang w:val="en-US" w:bidi="ar-SA"/>
        </w:rPr>
      </w:pPr>
      <w:r>
        <w:rPr>
          <w:rFonts w:ascii="Times New Roman" w:hAnsi="Times New Roman" w:cs="Times New Roman"/>
          <w:kern w:val="21"/>
          <w:sz w:val="24"/>
          <w:szCs w:val="24"/>
          <w:lang w:val="en-US" w:bidi="ar-SA"/>
        </w:rPr>
        <w:t>①在浅水区可用挖掘或真空设备吸取回收，可行的情况下用遥控潜水摄像机监控以便作业。</w:t>
      </w:r>
    </w:p>
    <w:p>
      <w:pPr>
        <w:autoSpaceDE/>
        <w:autoSpaceDN/>
        <w:spacing w:line="360" w:lineRule="auto"/>
        <w:ind w:firstLine="480" w:firstLineChars="200"/>
        <w:jc w:val="both"/>
        <w:rPr>
          <w:rFonts w:ascii="Times New Roman" w:hAnsi="Times New Roman" w:cs="Times New Roman"/>
          <w:kern w:val="21"/>
          <w:sz w:val="24"/>
          <w:szCs w:val="24"/>
          <w:lang w:val="en-US" w:bidi="ar-SA"/>
        </w:rPr>
      </w:pPr>
      <w:r>
        <w:rPr>
          <w:rFonts w:ascii="Times New Roman" w:hAnsi="Times New Roman" w:cs="Times New Roman"/>
          <w:kern w:val="21"/>
          <w:sz w:val="24"/>
          <w:szCs w:val="24"/>
          <w:lang w:val="en-US" w:bidi="ar-SA"/>
        </w:rPr>
        <w:t>②消解污染物。投加化学药剂，使有毒化学品分解为无毒物质。</w:t>
      </w:r>
    </w:p>
    <w:p>
      <w:pPr>
        <w:pStyle w:val="7"/>
        <w:spacing w:line="360" w:lineRule="auto"/>
        <w:ind w:firstLine="631"/>
        <w:jc w:val="both"/>
        <w:rPr>
          <w:b/>
          <w:bCs/>
          <w:spacing w:val="6"/>
          <w:sz w:val="24"/>
          <w:szCs w:val="24"/>
        </w:rPr>
      </w:pPr>
      <w:r>
        <w:rPr>
          <w:b/>
          <w:bCs/>
          <w:spacing w:val="6"/>
          <w:sz w:val="24"/>
          <w:szCs w:val="24"/>
        </w:rPr>
        <w:t>包装化学品落水事故</w:t>
      </w:r>
    </w:p>
    <w:p>
      <w:pPr>
        <w:autoSpaceDE/>
        <w:autoSpaceDN/>
        <w:spacing w:line="360" w:lineRule="auto"/>
        <w:ind w:firstLine="480" w:firstLineChars="200"/>
        <w:jc w:val="both"/>
        <w:rPr>
          <w:rFonts w:ascii="Times New Roman" w:hAnsi="Times New Roman" w:cs="Times New Roman"/>
          <w:kern w:val="21"/>
          <w:sz w:val="24"/>
          <w:szCs w:val="24"/>
          <w:lang w:val="en-US" w:bidi="ar-SA"/>
        </w:rPr>
      </w:pPr>
      <w:r>
        <w:rPr>
          <w:rFonts w:ascii="Times New Roman" w:hAnsi="Times New Roman" w:cs="Times New Roman"/>
          <w:kern w:val="21"/>
          <w:sz w:val="24"/>
          <w:szCs w:val="24"/>
          <w:lang w:val="en-US" w:bidi="ar-SA"/>
        </w:rPr>
        <w:t>①关闭河道有关闸门，较小河道可采取筑坝措施，隔断水流，防止包装破裂后泄漏的化学品扩散至饮用水水源地地。</w:t>
      </w:r>
    </w:p>
    <w:p>
      <w:pPr>
        <w:autoSpaceDE/>
        <w:autoSpaceDN/>
        <w:spacing w:line="360" w:lineRule="auto"/>
        <w:ind w:firstLine="480" w:firstLineChars="200"/>
        <w:jc w:val="both"/>
        <w:rPr>
          <w:rFonts w:ascii="Times New Roman" w:hAnsi="Times New Roman" w:cs="Times New Roman"/>
          <w:kern w:val="21"/>
          <w:sz w:val="24"/>
          <w:szCs w:val="24"/>
          <w:lang w:val="en-US" w:bidi="ar-SA"/>
        </w:rPr>
      </w:pPr>
      <w:r>
        <w:rPr>
          <w:rFonts w:ascii="Times New Roman" w:hAnsi="Times New Roman" w:cs="Times New Roman"/>
          <w:kern w:val="21"/>
          <w:sz w:val="24"/>
          <w:szCs w:val="24"/>
          <w:lang w:val="en-US" w:bidi="ar-SA"/>
        </w:rPr>
        <w:t>②可用机械抓斗、船吊、渔网等方法回收。</w:t>
      </w:r>
    </w:p>
    <w:p>
      <w:pPr>
        <w:pStyle w:val="7"/>
        <w:spacing w:line="360" w:lineRule="auto"/>
        <w:ind w:firstLine="631"/>
        <w:jc w:val="both"/>
        <w:rPr>
          <w:b/>
          <w:bCs/>
          <w:spacing w:val="6"/>
          <w:sz w:val="24"/>
          <w:szCs w:val="24"/>
        </w:rPr>
      </w:pPr>
      <w:r>
        <w:rPr>
          <w:rFonts w:hint="eastAsia"/>
          <w:b/>
          <w:bCs/>
          <w:spacing w:val="6"/>
          <w:sz w:val="24"/>
          <w:szCs w:val="24"/>
        </w:rPr>
        <w:t>非点风险源</w:t>
      </w:r>
    </w:p>
    <w:p>
      <w:pPr>
        <w:autoSpaceDE/>
        <w:autoSpaceDN/>
        <w:spacing w:line="360" w:lineRule="auto"/>
        <w:ind w:firstLine="480" w:firstLineChars="200"/>
        <w:jc w:val="both"/>
        <w:rPr>
          <w:rFonts w:ascii="Times New Roman" w:hAnsi="Times New Roman" w:cs="Times New Roman"/>
          <w:kern w:val="21"/>
          <w:sz w:val="24"/>
          <w:szCs w:val="24"/>
          <w:lang w:val="en-US" w:bidi="ar-SA"/>
        </w:rPr>
      </w:pPr>
      <w:r>
        <w:rPr>
          <w:rFonts w:ascii="Times New Roman" w:hAnsi="Times New Roman" w:cs="Times New Roman"/>
          <w:kern w:val="21"/>
          <w:sz w:val="24"/>
          <w:szCs w:val="24"/>
          <w:lang w:val="en-US" w:bidi="ar-SA"/>
        </w:rPr>
        <w:t>应重视非点源风险防范工作。位于一级保护区内的耕地、菜地等应逐渐转变其功能，采用租用或征用等措施，建设成为生态林等。禁止在一级保护区内进行种植、养殖。</w:t>
      </w:r>
    </w:p>
    <w:p>
      <w:pPr>
        <w:autoSpaceDE/>
        <w:autoSpaceDN/>
        <w:spacing w:line="360" w:lineRule="auto"/>
        <w:ind w:firstLine="480" w:firstLineChars="200"/>
        <w:jc w:val="both"/>
        <w:rPr>
          <w:rFonts w:ascii="Times New Roman" w:hAnsi="Times New Roman" w:cs="Times New Roman"/>
          <w:kern w:val="21"/>
          <w:sz w:val="24"/>
          <w:szCs w:val="24"/>
          <w:lang w:val="en-US" w:bidi="ar-SA"/>
        </w:rPr>
      </w:pPr>
      <w:r>
        <w:rPr>
          <w:rFonts w:ascii="Times New Roman" w:hAnsi="Times New Roman" w:cs="Times New Roman"/>
          <w:kern w:val="21"/>
          <w:sz w:val="24"/>
          <w:szCs w:val="24"/>
          <w:lang w:val="en-US" w:bidi="ar-SA"/>
        </w:rPr>
        <w:t>水源一、二级保护区划为禁养区，在禁养区内禁止建设畜禽养殖场、养殖小区，禁养区内已建成的畜禽养殖场及养殖小区应当限期搬迁或关闭。对小规模畜禽散养农户推行厨房用水、卫生间用水和畜禽养殖污水</w:t>
      </w:r>
      <w:r>
        <w:rPr>
          <w:rFonts w:hint="eastAsia" w:ascii="Times New Roman" w:hAnsi="Times New Roman" w:cs="Times New Roman"/>
          <w:kern w:val="21"/>
          <w:sz w:val="24"/>
          <w:szCs w:val="24"/>
          <w:lang w:val="en-US" w:bidi="ar-SA"/>
        </w:rPr>
        <w:t>“</w:t>
      </w:r>
      <w:r>
        <w:rPr>
          <w:rFonts w:ascii="Times New Roman" w:hAnsi="Times New Roman" w:cs="Times New Roman"/>
          <w:kern w:val="21"/>
          <w:sz w:val="24"/>
          <w:szCs w:val="24"/>
          <w:lang w:val="en-US" w:bidi="ar-SA"/>
        </w:rPr>
        <w:t>三水合一</w:t>
      </w:r>
      <w:r>
        <w:rPr>
          <w:rFonts w:hint="eastAsia" w:ascii="Times New Roman" w:hAnsi="Times New Roman" w:cs="Times New Roman"/>
          <w:kern w:val="21"/>
          <w:sz w:val="24"/>
          <w:szCs w:val="24"/>
          <w:lang w:val="en-US" w:bidi="ar-SA"/>
        </w:rPr>
        <w:t>”</w:t>
      </w:r>
      <w:r>
        <w:rPr>
          <w:rFonts w:ascii="Times New Roman" w:hAnsi="Times New Roman" w:cs="Times New Roman"/>
          <w:kern w:val="21"/>
          <w:sz w:val="24"/>
          <w:szCs w:val="24"/>
          <w:lang w:val="en-US" w:bidi="ar-SA"/>
        </w:rPr>
        <w:t>综合治理模式，对牲畜圈舍进行改造，并鼓励引导农户使用畜禽粪便作为有机肥料，减少降雨冲刷造成污染的流失，实现畜禽粪便的资源化。保护区内要大力发展生态农业，减少农药化肥施用量，化肥施用量控制在250公斤/公顷以内，农药使用强度控制在每公顷3公斤以内，禁止使用高毒农药，农灌水禁止直接排入饮用水水源地保护区内。</w:t>
      </w:r>
    </w:p>
    <w:p>
      <w:pPr>
        <w:autoSpaceDE/>
        <w:autoSpaceDN/>
        <w:spacing w:line="360" w:lineRule="auto"/>
        <w:ind w:firstLine="480" w:firstLineChars="200"/>
        <w:jc w:val="both"/>
        <w:rPr>
          <w:rFonts w:ascii="Times New Roman" w:hAnsi="Times New Roman" w:cs="Times New Roman"/>
          <w:kern w:val="21"/>
          <w:sz w:val="24"/>
          <w:szCs w:val="24"/>
          <w:lang w:val="en-US" w:bidi="ar-SA"/>
        </w:rPr>
      </w:pPr>
      <w:r>
        <w:rPr>
          <w:rFonts w:ascii="Times New Roman" w:hAnsi="Times New Roman" w:cs="Times New Roman"/>
          <w:kern w:val="21"/>
          <w:sz w:val="24"/>
          <w:szCs w:val="24"/>
          <w:lang w:val="en-US" w:bidi="ar-SA"/>
        </w:rPr>
        <w:t>分析地形、植被、地表径流的集水汇流特性、集水域范围等，合理调度水资源，保障水源的补给流量。</w:t>
      </w:r>
    </w:p>
    <w:p>
      <w:pPr>
        <w:pStyle w:val="7"/>
        <w:spacing w:line="360" w:lineRule="auto"/>
        <w:ind w:firstLine="631"/>
        <w:jc w:val="both"/>
        <w:rPr>
          <w:b/>
          <w:bCs/>
          <w:spacing w:val="6"/>
          <w:sz w:val="24"/>
          <w:szCs w:val="24"/>
        </w:rPr>
      </w:pPr>
      <w:r>
        <w:rPr>
          <w:rFonts w:hint="eastAsia"/>
          <w:b/>
          <w:bCs/>
          <w:spacing w:val="6"/>
          <w:sz w:val="24"/>
          <w:szCs w:val="24"/>
        </w:rPr>
        <w:t>（2）风险源应急防控工程</w:t>
      </w:r>
    </w:p>
    <w:p>
      <w:pPr>
        <w:pStyle w:val="7"/>
        <w:spacing w:line="360" w:lineRule="auto"/>
        <w:ind w:firstLine="631"/>
        <w:jc w:val="both"/>
        <w:rPr>
          <w:b/>
          <w:bCs/>
          <w:spacing w:val="6"/>
          <w:sz w:val="24"/>
          <w:szCs w:val="24"/>
        </w:rPr>
      </w:pPr>
      <w:r>
        <w:rPr>
          <w:rFonts w:hint="eastAsia"/>
          <w:b/>
          <w:bCs/>
          <w:spacing w:val="6"/>
          <w:sz w:val="24"/>
          <w:szCs w:val="24"/>
        </w:rPr>
        <w:t>加强交通管制</w:t>
      </w:r>
    </w:p>
    <w:p>
      <w:pPr>
        <w:autoSpaceDE/>
        <w:autoSpaceDN/>
        <w:spacing w:line="360" w:lineRule="auto"/>
        <w:ind w:firstLine="480" w:firstLineChars="200"/>
        <w:jc w:val="both"/>
        <w:rPr>
          <w:rFonts w:ascii="Times New Roman" w:hAnsi="Times New Roman" w:cs="Times New Roman"/>
          <w:kern w:val="21"/>
          <w:sz w:val="24"/>
          <w:szCs w:val="24"/>
          <w:lang w:val="en-US" w:bidi="ar-SA"/>
        </w:rPr>
      </w:pPr>
      <w:r>
        <w:rPr>
          <w:rFonts w:ascii="Times New Roman" w:hAnsi="Times New Roman" w:cs="Times New Roman"/>
          <w:kern w:val="21"/>
          <w:sz w:val="24"/>
          <w:szCs w:val="24"/>
          <w:lang w:val="en-US" w:bidi="ar-SA"/>
        </w:rPr>
        <w:t>在进入保护区内乡道之前的路口设置限高、限宽装置和警示牌，禁止运输危险化学品的货车通行。</w:t>
      </w:r>
    </w:p>
    <w:p>
      <w:pPr>
        <w:pStyle w:val="7"/>
        <w:spacing w:line="360" w:lineRule="auto"/>
        <w:ind w:firstLine="631"/>
        <w:jc w:val="both"/>
        <w:rPr>
          <w:b/>
          <w:bCs/>
          <w:spacing w:val="6"/>
          <w:sz w:val="24"/>
          <w:szCs w:val="24"/>
        </w:rPr>
      </w:pPr>
      <w:r>
        <w:rPr>
          <w:rFonts w:hint="eastAsia"/>
          <w:b/>
          <w:bCs/>
          <w:spacing w:val="6"/>
          <w:sz w:val="24"/>
          <w:szCs w:val="24"/>
        </w:rPr>
        <w:t>风险防控基础设施建设</w:t>
      </w:r>
    </w:p>
    <w:p>
      <w:pPr>
        <w:autoSpaceDE/>
        <w:autoSpaceDN/>
        <w:spacing w:line="360" w:lineRule="auto"/>
        <w:ind w:firstLine="480" w:firstLineChars="200"/>
        <w:jc w:val="both"/>
        <w:rPr>
          <w:rFonts w:ascii="Times New Roman" w:hAnsi="Times New Roman" w:cs="Times New Roman"/>
          <w:kern w:val="21"/>
          <w:sz w:val="24"/>
          <w:szCs w:val="24"/>
          <w:lang w:val="en-US" w:bidi="ar-SA"/>
        </w:rPr>
      </w:pPr>
      <w:r>
        <w:rPr>
          <w:rFonts w:ascii="Times New Roman" w:hAnsi="Times New Roman" w:cs="Times New Roman"/>
          <w:kern w:val="21"/>
          <w:sz w:val="24"/>
          <w:szCs w:val="24"/>
          <w:lang w:val="en-US" w:bidi="ar-SA"/>
        </w:rPr>
        <w:t>设置隔离防护栏杆、事故应急导流槽、蓄污湿地等基础设施；</w:t>
      </w:r>
    </w:p>
    <w:p>
      <w:pPr>
        <w:pStyle w:val="7"/>
        <w:spacing w:line="360" w:lineRule="auto"/>
        <w:ind w:firstLine="631"/>
        <w:jc w:val="both"/>
        <w:rPr>
          <w:b/>
          <w:bCs/>
          <w:spacing w:val="6"/>
          <w:sz w:val="24"/>
          <w:szCs w:val="24"/>
        </w:rPr>
      </w:pPr>
      <w:r>
        <w:rPr>
          <w:rFonts w:hint="eastAsia"/>
          <w:b/>
          <w:bCs/>
          <w:spacing w:val="6"/>
          <w:sz w:val="24"/>
          <w:szCs w:val="24"/>
          <w:lang w:val="en-US"/>
        </w:rPr>
        <w:t>2</w:t>
      </w:r>
      <w:r>
        <w:rPr>
          <w:rFonts w:hint="eastAsia"/>
          <w:b/>
          <w:bCs/>
          <w:spacing w:val="6"/>
          <w:sz w:val="24"/>
          <w:szCs w:val="24"/>
        </w:rPr>
        <w:t>、取水口应急防控</w:t>
      </w:r>
    </w:p>
    <w:p>
      <w:pPr>
        <w:pStyle w:val="7"/>
        <w:spacing w:line="360" w:lineRule="auto"/>
        <w:ind w:firstLine="631"/>
        <w:jc w:val="both"/>
        <w:rPr>
          <w:b/>
          <w:bCs/>
          <w:spacing w:val="6"/>
          <w:sz w:val="24"/>
          <w:szCs w:val="24"/>
        </w:rPr>
      </w:pPr>
      <w:r>
        <w:rPr>
          <w:rFonts w:hint="eastAsia"/>
          <w:b/>
          <w:bCs/>
          <w:spacing w:val="6"/>
          <w:sz w:val="24"/>
          <w:szCs w:val="24"/>
        </w:rPr>
        <w:t>（</w:t>
      </w:r>
      <w:r>
        <w:rPr>
          <w:rFonts w:hint="eastAsia"/>
          <w:b/>
          <w:bCs/>
          <w:spacing w:val="6"/>
          <w:sz w:val="24"/>
          <w:szCs w:val="24"/>
          <w:lang w:val="en-US"/>
        </w:rPr>
        <w:t>1</w:t>
      </w:r>
      <w:r>
        <w:rPr>
          <w:rFonts w:hint="eastAsia"/>
          <w:b/>
          <w:bCs/>
          <w:spacing w:val="6"/>
          <w:sz w:val="24"/>
          <w:szCs w:val="24"/>
        </w:rPr>
        <w:t>）防范措施</w:t>
      </w:r>
    </w:p>
    <w:p>
      <w:pPr>
        <w:autoSpaceDE/>
        <w:autoSpaceDN/>
        <w:spacing w:line="360" w:lineRule="auto"/>
        <w:ind w:firstLine="480" w:firstLineChars="200"/>
        <w:jc w:val="both"/>
        <w:rPr>
          <w:rFonts w:ascii="Times New Roman" w:hAnsi="Times New Roman" w:cs="Times New Roman"/>
          <w:kern w:val="21"/>
          <w:sz w:val="24"/>
          <w:szCs w:val="24"/>
          <w:lang w:val="en-US" w:bidi="ar-SA"/>
        </w:rPr>
      </w:pPr>
      <w:r>
        <w:rPr>
          <w:rFonts w:ascii="Times New Roman" w:hAnsi="Times New Roman" w:cs="Times New Roman"/>
          <w:kern w:val="21"/>
          <w:sz w:val="24"/>
          <w:szCs w:val="24"/>
          <w:lang w:val="en-US" w:bidi="ar-SA"/>
        </w:rPr>
        <w:t>加强水源地取水口的自动监控。可采用生物毒性综合预警手段实现对重金属、有机污染物等有毒有害物质的实时监控。根据水源地特征，可以增加不同垂直深度的水质自动监控，为改变取水层位等应急措施提供依据。</w:t>
      </w:r>
    </w:p>
    <w:p>
      <w:pPr>
        <w:pStyle w:val="7"/>
        <w:spacing w:line="360" w:lineRule="auto"/>
        <w:ind w:firstLine="631"/>
        <w:jc w:val="both"/>
        <w:rPr>
          <w:b/>
          <w:bCs/>
          <w:spacing w:val="6"/>
          <w:sz w:val="24"/>
          <w:szCs w:val="24"/>
        </w:rPr>
      </w:pPr>
      <w:r>
        <w:rPr>
          <w:rFonts w:hint="eastAsia"/>
          <w:b/>
          <w:bCs/>
          <w:spacing w:val="6"/>
          <w:sz w:val="24"/>
          <w:szCs w:val="24"/>
        </w:rPr>
        <w:t>（</w:t>
      </w:r>
      <w:r>
        <w:rPr>
          <w:rFonts w:hint="eastAsia"/>
          <w:b/>
          <w:bCs/>
          <w:spacing w:val="6"/>
          <w:sz w:val="24"/>
          <w:szCs w:val="24"/>
          <w:lang w:val="en-US"/>
        </w:rPr>
        <w:t>2</w:t>
      </w:r>
      <w:r>
        <w:rPr>
          <w:rFonts w:hint="eastAsia"/>
          <w:b/>
          <w:bCs/>
          <w:spacing w:val="6"/>
          <w:sz w:val="24"/>
          <w:szCs w:val="24"/>
        </w:rPr>
        <w:t>）取水口应急防控工程</w:t>
      </w:r>
    </w:p>
    <w:p>
      <w:pPr>
        <w:autoSpaceDE/>
        <w:autoSpaceDN/>
        <w:spacing w:line="360" w:lineRule="auto"/>
        <w:ind w:firstLine="480" w:firstLineChars="200"/>
        <w:jc w:val="both"/>
        <w:rPr>
          <w:rFonts w:ascii="Times New Roman" w:hAnsi="Times New Roman" w:cs="Times New Roman"/>
          <w:kern w:val="21"/>
          <w:sz w:val="24"/>
          <w:szCs w:val="24"/>
          <w:lang w:val="en-US" w:bidi="ar-SA"/>
        </w:rPr>
      </w:pPr>
      <w:r>
        <w:rPr>
          <w:rFonts w:ascii="Times New Roman" w:hAnsi="Times New Roman" w:cs="Times New Roman"/>
          <w:kern w:val="21"/>
          <w:sz w:val="24"/>
          <w:szCs w:val="24"/>
          <w:lang w:val="en-US" w:bidi="ar-SA"/>
        </w:rPr>
        <w:t>一级保护区实施封闭式管理，设置隔离防护设施，防止人类活动影响，同时取水口周围水面设置浮标。</w:t>
      </w:r>
    </w:p>
    <w:p>
      <w:pPr>
        <w:autoSpaceDE/>
        <w:autoSpaceDN/>
        <w:spacing w:line="360" w:lineRule="auto"/>
        <w:ind w:firstLine="480" w:firstLineChars="200"/>
        <w:jc w:val="both"/>
        <w:rPr>
          <w:rFonts w:ascii="Times New Roman" w:hAnsi="Times New Roman" w:cs="Times New Roman"/>
          <w:kern w:val="21"/>
          <w:sz w:val="24"/>
          <w:szCs w:val="24"/>
          <w:lang w:bidi="ar-SA"/>
        </w:rPr>
      </w:pPr>
      <w:r>
        <w:rPr>
          <w:rFonts w:ascii="Times New Roman" w:hAnsi="Times New Roman" w:cs="Times New Roman"/>
          <w:kern w:val="21"/>
          <w:sz w:val="24"/>
          <w:szCs w:val="24"/>
          <w:lang w:bidi="ar-SA"/>
        </w:rPr>
        <w:t>建设调水沟渠应急工程，通过调水稀释措施，降低污染物浓度。</w:t>
      </w:r>
    </w:p>
    <w:p>
      <w:pPr>
        <w:autoSpaceDE/>
        <w:autoSpaceDN/>
        <w:spacing w:line="360" w:lineRule="auto"/>
        <w:ind w:firstLine="480" w:firstLineChars="200"/>
        <w:jc w:val="both"/>
        <w:rPr>
          <w:rFonts w:ascii="Times New Roman" w:hAnsi="Times New Roman" w:cs="Times New Roman"/>
          <w:kern w:val="21"/>
          <w:sz w:val="24"/>
          <w:szCs w:val="24"/>
          <w:lang w:val="en-US" w:bidi="ar-SA"/>
        </w:rPr>
        <w:sectPr>
          <w:pgSz w:w="11906" w:h="16838"/>
          <w:pgMar w:top="1440" w:right="1800" w:bottom="1440" w:left="1800" w:header="1134" w:footer="992" w:gutter="0"/>
          <w:pgNumType w:fmt="numberInDash"/>
          <w:cols w:space="425" w:num="1"/>
          <w:docGrid w:type="lines" w:linePitch="312" w:charSpace="0"/>
        </w:sectPr>
      </w:pPr>
    </w:p>
    <w:p>
      <w:pPr>
        <w:pStyle w:val="3"/>
        <w:jc w:val="both"/>
        <w:rPr>
          <w:sz w:val="32"/>
          <w:szCs w:val="32"/>
        </w:rPr>
      </w:pPr>
      <w:bookmarkStart w:id="252" w:name="_Toc14622"/>
      <w:bookmarkStart w:id="253" w:name="_Toc72337769"/>
      <w:bookmarkStart w:id="254" w:name="_Toc30506"/>
      <w:r>
        <w:rPr>
          <w:rFonts w:hint="eastAsia"/>
          <w:sz w:val="32"/>
          <w:szCs w:val="32"/>
        </w:rPr>
        <w:t xml:space="preserve">附件 </w:t>
      </w:r>
      <w:r>
        <w:rPr>
          <w:rFonts w:hint="eastAsia"/>
          <w:sz w:val="32"/>
          <w:szCs w:val="32"/>
          <w:lang w:val="en-US"/>
        </w:rPr>
        <w:t>8</w:t>
      </w:r>
      <w:r>
        <w:rPr>
          <w:rFonts w:hint="eastAsia"/>
          <w:sz w:val="32"/>
          <w:szCs w:val="32"/>
        </w:rPr>
        <w:t xml:space="preserve"> 赤壁市乡镇式集中式饮用水水源地风险源清单</w:t>
      </w:r>
      <w:bookmarkEnd w:id="252"/>
      <w:bookmarkEnd w:id="253"/>
      <w:bookmarkEnd w:id="254"/>
    </w:p>
    <w:p/>
    <w:tbl>
      <w:tblPr>
        <w:tblStyle w:val="21"/>
        <w:tblW w:w="851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1"/>
        <w:gridCol w:w="1544"/>
        <w:gridCol w:w="3061"/>
        <w:gridCol w:w="18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71"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水源地名称</w:t>
            </w:r>
          </w:p>
        </w:tc>
        <w:tc>
          <w:tcPr>
            <w:tcW w:w="1544"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固定源名称</w:t>
            </w:r>
          </w:p>
        </w:tc>
        <w:tc>
          <w:tcPr>
            <w:tcW w:w="3061"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流动源名称</w:t>
            </w:r>
          </w:p>
        </w:tc>
        <w:tc>
          <w:tcPr>
            <w:tcW w:w="1843"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非点源名称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71" w:type="dxa"/>
            <w:vMerge w:val="restart"/>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石人泉水库水源地</w:t>
            </w:r>
          </w:p>
        </w:tc>
        <w:tc>
          <w:tcPr>
            <w:tcW w:w="1544" w:type="dxa"/>
            <w:vMerge w:val="restart"/>
            <w:tcBorders>
              <w:tl2br w:val="nil"/>
              <w:tr2bl w:val="nil"/>
            </w:tcBorders>
            <w:vAlign w:val="center"/>
          </w:tcPr>
          <w:p>
            <w:pPr>
              <w:pStyle w:val="23"/>
              <w:autoSpaceDE/>
              <w:autoSpaceDN/>
              <w:rPr>
                <w:rFonts w:eastAsiaTheme="minorEastAsia"/>
                <w:bCs/>
                <w:lang w:val="en-US"/>
              </w:rPr>
            </w:pPr>
            <w:r>
              <w:rPr>
                <w:rFonts w:eastAsiaTheme="minorEastAsia"/>
                <w:bCs/>
              </w:rPr>
              <w:t>无</w:t>
            </w:r>
          </w:p>
        </w:tc>
        <w:tc>
          <w:tcPr>
            <w:tcW w:w="3061" w:type="dxa"/>
            <w:tcBorders>
              <w:tl2br w:val="nil"/>
              <w:tr2bl w:val="nil"/>
            </w:tcBorders>
            <w:vAlign w:val="center"/>
          </w:tcPr>
          <w:p>
            <w:pPr>
              <w:pStyle w:val="23"/>
              <w:autoSpaceDE/>
              <w:autoSpaceDN/>
              <w:rPr>
                <w:rFonts w:eastAsiaTheme="minorEastAsia"/>
                <w:bCs/>
                <w:lang w:val="en-US"/>
              </w:rPr>
            </w:pPr>
            <w:r>
              <w:rPr>
                <w:rFonts w:eastAsiaTheme="minorEastAsia"/>
                <w:bCs/>
                <w:lang w:val="en-US"/>
              </w:rPr>
              <w:t>沿岸</w:t>
            </w:r>
            <w:r>
              <w:rPr>
                <w:rFonts w:hint="eastAsia" w:eastAsiaTheme="minorEastAsia"/>
                <w:bCs/>
                <w:lang w:val="en-US"/>
              </w:rPr>
              <w:t>赵崇路</w:t>
            </w:r>
          </w:p>
        </w:tc>
        <w:tc>
          <w:tcPr>
            <w:tcW w:w="1843" w:type="dxa"/>
            <w:vMerge w:val="restart"/>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保护区内有耕地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71" w:type="dxa"/>
            <w:vMerge w:val="continue"/>
            <w:tcBorders>
              <w:tl2br w:val="nil"/>
              <w:tr2bl w:val="nil"/>
            </w:tcBorders>
            <w:vAlign w:val="center"/>
          </w:tcPr>
          <w:p>
            <w:pPr>
              <w:pStyle w:val="23"/>
              <w:autoSpaceDE/>
              <w:autoSpaceDN/>
              <w:rPr>
                <w:rFonts w:eastAsiaTheme="minorEastAsia"/>
                <w:bCs/>
                <w:lang w:val="en-US"/>
              </w:rPr>
            </w:pPr>
          </w:p>
        </w:tc>
        <w:tc>
          <w:tcPr>
            <w:tcW w:w="1544" w:type="dxa"/>
            <w:vMerge w:val="continue"/>
            <w:tcBorders>
              <w:tl2br w:val="nil"/>
              <w:tr2bl w:val="nil"/>
            </w:tcBorders>
            <w:vAlign w:val="center"/>
          </w:tcPr>
          <w:p>
            <w:pPr>
              <w:pStyle w:val="23"/>
              <w:autoSpaceDE/>
              <w:autoSpaceDN/>
              <w:rPr>
                <w:rFonts w:eastAsiaTheme="minorEastAsia"/>
                <w:bCs/>
              </w:rPr>
            </w:pPr>
          </w:p>
        </w:tc>
        <w:tc>
          <w:tcPr>
            <w:tcW w:w="3061"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乡村道路桥梁</w:t>
            </w:r>
          </w:p>
        </w:tc>
        <w:tc>
          <w:tcPr>
            <w:tcW w:w="1843" w:type="dxa"/>
            <w:vMerge w:val="continue"/>
            <w:tcBorders>
              <w:tl2br w:val="nil"/>
              <w:tr2bl w:val="nil"/>
            </w:tcBorders>
            <w:vAlign w:val="center"/>
          </w:tcPr>
          <w:p>
            <w:pPr>
              <w:pStyle w:val="23"/>
              <w:autoSpaceDE/>
              <w:autoSpaceDN/>
              <w:rPr>
                <w:rFonts w:eastAsiaTheme="minorEastAsia"/>
                <w:bCs/>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71" w:type="dxa"/>
            <w:vMerge w:val="continue"/>
            <w:tcBorders>
              <w:tl2br w:val="nil"/>
              <w:tr2bl w:val="nil"/>
            </w:tcBorders>
            <w:vAlign w:val="center"/>
          </w:tcPr>
          <w:p>
            <w:pPr>
              <w:pStyle w:val="23"/>
              <w:autoSpaceDE/>
              <w:autoSpaceDN/>
              <w:rPr>
                <w:rFonts w:eastAsiaTheme="minorEastAsia"/>
                <w:bCs/>
                <w:lang w:val="en-US"/>
              </w:rPr>
            </w:pPr>
          </w:p>
        </w:tc>
        <w:tc>
          <w:tcPr>
            <w:tcW w:w="1544" w:type="dxa"/>
            <w:vMerge w:val="continue"/>
            <w:tcBorders>
              <w:tl2br w:val="nil"/>
              <w:tr2bl w:val="nil"/>
            </w:tcBorders>
            <w:vAlign w:val="center"/>
          </w:tcPr>
          <w:p>
            <w:pPr>
              <w:pStyle w:val="23"/>
              <w:autoSpaceDE/>
              <w:autoSpaceDN/>
              <w:rPr>
                <w:rFonts w:eastAsiaTheme="minorEastAsia"/>
                <w:bCs/>
              </w:rPr>
            </w:pPr>
          </w:p>
        </w:tc>
        <w:tc>
          <w:tcPr>
            <w:tcW w:w="3061"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武深高速</w:t>
            </w:r>
          </w:p>
        </w:tc>
        <w:tc>
          <w:tcPr>
            <w:tcW w:w="1843" w:type="dxa"/>
            <w:vMerge w:val="continue"/>
            <w:tcBorders>
              <w:tl2br w:val="nil"/>
              <w:tr2bl w:val="nil"/>
            </w:tcBorders>
            <w:vAlign w:val="center"/>
          </w:tcPr>
          <w:p>
            <w:pPr>
              <w:pStyle w:val="23"/>
              <w:autoSpaceDE/>
              <w:autoSpaceDN/>
              <w:rPr>
                <w:rFonts w:eastAsiaTheme="minorEastAsia"/>
                <w:bCs/>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71"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白石水库水源地</w:t>
            </w:r>
          </w:p>
        </w:tc>
        <w:tc>
          <w:tcPr>
            <w:tcW w:w="1544" w:type="dxa"/>
            <w:tcBorders>
              <w:tl2br w:val="nil"/>
              <w:tr2bl w:val="nil"/>
            </w:tcBorders>
            <w:vAlign w:val="center"/>
          </w:tcPr>
          <w:p>
            <w:pPr>
              <w:pStyle w:val="23"/>
              <w:autoSpaceDE/>
              <w:autoSpaceDN/>
              <w:rPr>
                <w:rFonts w:eastAsiaTheme="minorEastAsia"/>
                <w:bCs/>
                <w:lang w:val="en-US"/>
              </w:rPr>
            </w:pPr>
            <w:r>
              <w:rPr>
                <w:rFonts w:eastAsiaTheme="minorEastAsia"/>
                <w:bCs/>
              </w:rPr>
              <w:t>无</w:t>
            </w:r>
          </w:p>
        </w:tc>
        <w:tc>
          <w:tcPr>
            <w:tcW w:w="3061" w:type="dxa"/>
            <w:tcBorders>
              <w:tl2br w:val="nil"/>
              <w:tr2bl w:val="nil"/>
            </w:tcBorders>
            <w:vAlign w:val="center"/>
          </w:tcPr>
          <w:p>
            <w:pPr>
              <w:pStyle w:val="23"/>
              <w:autoSpaceDE/>
              <w:autoSpaceDN/>
              <w:rPr>
                <w:rFonts w:eastAsiaTheme="minorEastAsia"/>
                <w:bCs/>
                <w:lang w:val="en-US"/>
              </w:rPr>
            </w:pPr>
            <w:r>
              <w:rPr>
                <w:rFonts w:eastAsiaTheme="minorEastAsia"/>
                <w:bCs/>
                <w:lang w:val="en-US"/>
              </w:rPr>
              <w:t>沿岸乡村道路</w:t>
            </w:r>
          </w:p>
        </w:tc>
        <w:tc>
          <w:tcPr>
            <w:tcW w:w="1843"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71"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燎燃水库水源地</w:t>
            </w:r>
          </w:p>
        </w:tc>
        <w:tc>
          <w:tcPr>
            <w:tcW w:w="1544" w:type="dxa"/>
            <w:tcBorders>
              <w:tl2br w:val="nil"/>
              <w:tr2bl w:val="nil"/>
            </w:tcBorders>
            <w:vAlign w:val="center"/>
          </w:tcPr>
          <w:p>
            <w:pPr>
              <w:pStyle w:val="23"/>
              <w:autoSpaceDE/>
              <w:autoSpaceDN/>
              <w:rPr>
                <w:rFonts w:eastAsiaTheme="minorEastAsia"/>
                <w:bCs/>
                <w:lang w:val="en-US"/>
              </w:rPr>
            </w:pPr>
            <w:r>
              <w:rPr>
                <w:rFonts w:eastAsiaTheme="minorEastAsia"/>
                <w:bCs/>
              </w:rPr>
              <w:t>无</w:t>
            </w:r>
          </w:p>
        </w:tc>
        <w:tc>
          <w:tcPr>
            <w:tcW w:w="3061" w:type="dxa"/>
            <w:tcBorders>
              <w:tl2br w:val="nil"/>
              <w:tr2bl w:val="nil"/>
            </w:tcBorders>
            <w:vAlign w:val="center"/>
          </w:tcPr>
          <w:p>
            <w:pPr>
              <w:pStyle w:val="23"/>
              <w:autoSpaceDE/>
              <w:autoSpaceDN/>
              <w:rPr>
                <w:rFonts w:eastAsiaTheme="minorEastAsia"/>
                <w:bCs/>
                <w:lang w:val="en-US"/>
              </w:rPr>
            </w:pPr>
            <w:r>
              <w:rPr>
                <w:rFonts w:eastAsiaTheme="minorEastAsia"/>
                <w:bCs/>
                <w:lang w:val="en-US"/>
              </w:rPr>
              <w:t>沿岸乡村道路</w:t>
            </w:r>
          </w:p>
        </w:tc>
        <w:tc>
          <w:tcPr>
            <w:tcW w:w="1843"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保护区内有耕地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71" w:type="dxa"/>
            <w:vMerge w:val="restart"/>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松柏湖水库水源地</w:t>
            </w:r>
          </w:p>
        </w:tc>
        <w:tc>
          <w:tcPr>
            <w:tcW w:w="1544" w:type="dxa"/>
            <w:vMerge w:val="restart"/>
            <w:tcBorders>
              <w:tl2br w:val="nil"/>
              <w:tr2bl w:val="nil"/>
            </w:tcBorders>
            <w:vAlign w:val="center"/>
          </w:tcPr>
          <w:p>
            <w:pPr>
              <w:pStyle w:val="23"/>
              <w:autoSpaceDE/>
              <w:autoSpaceDN/>
              <w:rPr>
                <w:rFonts w:eastAsiaTheme="minorEastAsia"/>
                <w:bCs/>
                <w:lang w:val="en-US"/>
              </w:rPr>
            </w:pPr>
            <w:r>
              <w:rPr>
                <w:rFonts w:eastAsiaTheme="minorEastAsia"/>
                <w:bCs/>
              </w:rPr>
              <w:t>无</w:t>
            </w:r>
          </w:p>
        </w:tc>
        <w:tc>
          <w:tcPr>
            <w:tcW w:w="3061" w:type="dxa"/>
            <w:tcBorders>
              <w:tl2br w:val="nil"/>
              <w:tr2bl w:val="nil"/>
            </w:tcBorders>
            <w:vAlign w:val="center"/>
          </w:tcPr>
          <w:p>
            <w:pPr>
              <w:pStyle w:val="23"/>
              <w:autoSpaceDE/>
              <w:autoSpaceDN/>
              <w:rPr>
                <w:rFonts w:eastAsiaTheme="minorEastAsia"/>
                <w:bCs/>
                <w:lang w:val="en-US"/>
              </w:rPr>
            </w:pPr>
            <w:r>
              <w:rPr>
                <w:rFonts w:eastAsiaTheme="minorEastAsia"/>
                <w:bCs/>
                <w:lang w:val="en-US"/>
              </w:rPr>
              <w:t>沿岸乡村道路</w:t>
            </w:r>
          </w:p>
        </w:tc>
        <w:tc>
          <w:tcPr>
            <w:tcW w:w="1843" w:type="dxa"/>
            <w:vMerge w:val="restart"/>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71" w:type="dxa"/>
            <w:vMerge w:val="continue"/>
            <w:tcBorders>
              <w:tl2br w:val="nil"/>
              <w:tr2bl w:val="nil"/>
            </w:tcBorders>
            <w:vAlign w:val="center"/>
          </w:tcPr>
          <w:p>
            <w:pPr>
              <w:pStyle w:val="23"/>
              <w:autoSpaceDE/>
              <w:autoSpaceDN/>
              <w:rPr>
                <w:rFonts w:eastAsiaTheme="minorEastAsia"/>
                <w:bCs/>
                <w:lang w:val="en-US"/>
              </w:rPr>
            </w:pPr>
          </w:p>
        </w:tc>
        <w:tc>
          <w:tcPr>
            <w:tcW w:w="1544" w:type="dxa"/>
            <w:vMerge w:val="continue"/>
            <w:tcBorders>
              <w:tl2br w:val="nil"/>
              <w:tr2bl w:val="nil"/>
            </w:tcBorders>
            <w:vAlign w:val="center"/>
          </w:tcPr>
          <w:p>
            <w:pPr>
              <w:pStyle w:val="23"/>
              <w:autoSpaceDE/>
              <w:autoSpaceDN/>
              <w:rPr>
                <w:rFonts w:eastAsiaTheme="minorEastAsia"/>
                <w:bCs/>
              </w:rPr>
            </w:pPr>
          </w:p>
        </w:tc>
        <w:tc>
          <w:tcPr>
            <w:tcW w:w="3061"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214省道</w:t>
            </w:r>
          </w:p>
        </w:tc>
        <w:tc>
          <w:tcPr>
            <w:tcW w:w="1843" w:type="dxa"/>
            <w:vMerge w:val="continue"/>
            <w:tcBorders>
              <w:tl2br w:val="nil"/>
              <w:tr2bl w:val="nil"/>
            </w:tcBorders>
            <w:vAlign w:val="center"/>
          </w:tcPr>
          <w:p>
            <w:pPr>
              <w:pStyle w:val="23"/>
              <w:autoSpaceDE/>
              <w:autoSpaceDN/>
              <w:rPr>
                <w:rFonts w:eastAsiaTheme="minorEastAsia"/>
                <w:bCs/>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71" w:type="dxa"/>
            <w:vMerge w:val="restart"/>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上矶水源地</w:t>
            </w:r>
          </w:p>
        </w:tc>
        <w:tc>
          <w:tcPr>
            <w:tcW w:w="1544"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汽渡码头</w:t>
            </w:r>
          </w:p>
        </w:tc>
        <w:tc>
          <w:tcPr>
            <w:tcW w:w="3061"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东风大道</w:t>
            </w:r>
          </w:p>
        </w:tc>
        <w:tc>
          <w:tcPr>
            <w:tcW w:w="1843" w:type="dxa"/>
            <w:vMerge w:val="restart"/>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保护区内有耕地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71" w:type="dxa"/>
            <w:vMerge w:val="continue"/>
            <w:tcBorders>
              <w:tl2br w:val="nil"/>
              <w:tr2bl w:val="nil"/>
            </w:tcBorders>
            <w:vAlign w:val="center"/>
          </w:tcPr>
          <w:p>
            <w:pPr>
              <w:pStyle w:val="23"/>
              <w:autoSpaceDE/>
              <w:autoSpaceDN/>
              <w:rPr>
                <w:rFonts w:eastAsiaTheme="minorEastAsia"/>
                <w:bCs/>
                <w:lang w:val="en-US"/>
              </w:rPr>
            </w:pPr>
          </w:p>
        </w:tc>
        <w:tc>
          <w:tcPr>
            <w:tcW w:w="1544"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客运码头</w:t>
            </w:r>
          </w:p>
        </w:tc>
        <w:tc>
          <w:tcPr>
            <w:tcW w:w="3061"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赤壁长江大桥</w:t>
            </w:r>
          </w:p>
        </w:tc>
        <w:tc>
          <w:tcPr>
            <w:tcW w:w="1843" w:type="dxa"/>
            <w:vMerge w:val="continue"/>
            <w:tcBorders>
              <w:tl2br w:val="nil"/>
              <w:tr2bl w:val="nil"/>
            </w:tcBorders>
            <w:vAlign w:val="center"/>
          </w:tcPr>
          <w:p>
            <w:pPr>
              <w:pStyle w:val="23"/>
              <w:autoSpaceDE/>
              <w:autoSpaceDN/>
              <w:rPr>
                <w:rFonts w:eastAsiaTheme="minorEastAsia"/>
                <w:bCs/>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71" w:type="dxa"/>
            <w:vMerge w:val="continue"/>
            <w:tcBorders>
              <w:tl2br w:val="nil"/>
              <w:tr2bl w:val="nil"/>
            </w:tcBorders>
            <w:vAlign w:val="center"/>
          </w:tcPr>
          <w:p>
            <w:pPr>
              <w:pStyle w:val="23"/>
              <w:autoSpaceDE/>
              <w:autoSpaceDN/>
              <w:rPr>
                <w:rFonts w:eastAsiaTheme="minorEastAsia"/>
                <w:bCs/>
                <w:lang w:val="en-US"/>
              </w:rPr>
            </w:pPr>
          </w:p>
        </w:tc>
        <w:tc>
          <w:tcPr>
            <w:tcW w:w="1544"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w:t>
            </w:r>
          </w:p>
        </w:tc>
        <w:tc>
          <w:tcPr>
            <w:tcW w:w="3061"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汽渡航道</w:t>
            </w:r>
          </w:p>
        </w:tc>
        <w:tc>
          <w:tcPr>
            <w:tcW w:w="1843" w:type="dxa"/>
            <w:vMerge w:val="continue"/>
            <w:tcBorders>
              <w:tl2br w:val="nil"/>
              <w:tr2bl w:val="nil"/>
            </w:tcBorders>
            <w:vAlign w:val="center"/>
          </w:tcPr>
          <w:p>
            <w:pPr>
              <w:pStyle w:val="23"/>
              <w:autoSpaceDE/>
              <w:autoSpaceDN/>
              <w:rPr>
                <w:rFonts w:eastAsiaTheme="minorEastAsia"/>
                <w:bCs/>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71"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前进水库水源地</w:t>
            </w:r>
          </w:p>
        </w:tc>
        <w:tc>
          <w:tcPr>
            <w:tcW w:w="1544" w:type="dxa"/>
            <w:tcBorders>
              <w:tl2br w:val="nil"/>
              <w:tr2bl w:val="nil"/>
            </w:tcBorders>
            <w:vAlign w:val="center"/>
          </w:tcPr>
          <w:p>
            <w:pPr>
              <w:pStyle w:val="23"/>
              <w:autoSpaceDE/>
              <w:autoSpaceDN/>
              <w:rPr>
                <w:rFonts w:eastAsiaTheme="minorEastAsia"/>
                <w:bCs/>
                <w:lang w:val="en-US"/>
              </w:rPr>
            </w:pPr>
            <w:r>
              <w:rPr>
                <w:rFonts w:eastAsiaTheme="minorEastAsia"/>
                <w:bCs/>
              </w:rPr>
              <w:t>无</w:t>
            </w:r>
          </w:p>
        </w:tc>
        <w:tc>
          <w:tcPr>
            <w:tcW w:w="3061" w:type="dxa"/>
            <w:tcBorders>
              <w:tl2br w:val="nil"/>
              <w:tr2bl w:val="nil"/>
            </w:tcBorders>
            <w:vAlign w:val="center"/>
          </w:tcPr>
          <w:p>
            <w:pPr>
              <w:pStyle w:val="23"/>
              <w:autoSpaceDE/>
              <w:autoSpaceDN/>
              <w:rPr>
                <w:rFonts w:eastAsiaTheme="minorEastAsia"/>
                <w:bCs/>
                <w:lang w:val="en-US"/>
              </w:rPr>
            </w:pPr>
            <w:r>
              <w:rPr>
                <w:rFonts w:eastAsiaTheme="minorEastAsia"/>
                <w:bCs/>
                <w:lang w:val="en-US"/>
              </w:rPr>
              <w:t>沿岸乡村道路</w:t>
            </w:r>
          </w:p>
        </w:tc>
        <w:tc>
          <w:tcPr>
            <w:tcW w:w="1843"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保护区内有耕地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71"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双石水库水源地</w:t>
            </w:r>
          </w:p>
        </w:tc>
        <w:tc>
          <w:tcPr>
            <w:tcW w:w="1544" w:type="dxa"/>
            <w:tcBorders>
              <w:tl2br w:val="nil"/>
              <w:tr2bl w:val="nil"/>
            </w:tcBorders>
            <w:vAlign w:val="center"/>
          </w:tcPr>
          <w:p>
            <w:pPr>
              <w:pStyle w:val="23"/>
              <w:autoSpaceDE/>
              <w:autoSpaceDN/>
              <w:rPr>
                <w:rFonts w:eastAsiaTheme="minorEastAsia"/>
                <w:bCs/>
                <w:lang w:val="en-US"/>
              </w:rPr>
            </w:pPr>
            <w:r>
              <w:rPr>
                <w:rFonts w:eastAsiaTheme="minorEastAsia"/>
                <w:bCs/>
              </w:rPr>
              <w:t>无</w:t>
            </w:r>
          </w:p>
        </w:tc>
        <w:tc>
          <w:tcPr>
            <w:tcW w:w="3061"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无</w:t>
            </w:r>
          </w:p>
        </w:tc>
        <w:tc>
          <w:tcPr>
            <w:tcW w:w="1843"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71"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张家坝水库水源地</w:t>
            </w:r>
          </w:p>
        </w:tc>
        <w:tc>
          <w:tcPr>
            <w:tcW w:w="1544" w:type="dxa"/>
            <w:tcBorders>
              <w:tl2br w:val="nil"/>
              <w:tr2bl w:val="nil"/>
            </w:tcBorders>
            <w:vAlign w:val="center"/>
          </w:tcPr>
          <w:p>
            <w:pPr>
              <w:pStyle w:val="23"/>
              <w:autoSpaceDE/>
              <w:autoSpaceDN/>
              <w:rPr>
                <w:rFonts w:eastAsiaTheme="minorEastAsia"/>
                <w:bCs/>
                <w:lang w:val="en-US"/>
              </w:rPr>
            </w:pPr>
            <w:r>
              <w:rPr>
                <w:rFonts w:eastAsiaTheme="minorEastAsia"/>
                <w:bCs/>
              </w:rPr>
              <w:t>无</w:t>
            </w:r>
          </w:p>
        </w:tc>
        <w:tc>
          <w:tcPr>
            <w:tcW w:w="3061" w:type="dxa"/>
            <w:tcBorders>
              <w:tl2br w:val="nil"/>
              <w:tr2bl w:val="nil"/>
            </w:tcBorders>
            <w:vAlign w:val="center"/>
          </w:tcPr>
          <w:p>
            <w:pPr>
              <w:pStyle w:val="23"/>
              <w:autoSpaceDE/>
              <w:autoSpaceDN/>
              <w:rPr>
                <w:rFonts w:eastAsiaTheme="minorEastAsia"/>
                <w:bCs/>
                <w:lang w:val="en-US"/>
              </w:rPr>
            </w:pPr>
            <w:r>
              <w:rPr>
                <w:rFonts w:eastAsiaTheme="minorEastAsia"/>
                <w:bCs/>
                <w:lang w:val="en-US"/>
              </w:rPr>
              <w:t>沿岸乡村道路</w:t>
            </w:r>
          </w:p>
        </w:tc>
        <w:tc>
          <w:tcPr>
            <w:tcW w:w="1843"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保护区内有耕地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71" w:type="dxa"/>
            <w:vMerge w:val="restart"/>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皤河水源地</w:t>
            </w:r>
          </w:p>
        </w:tc>
        <w:tc>
          <w:tcPr>
            <w:tcW w:w="1544" w:type="dxa"/>
            <w:vMerge w:val="restart"/>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无</w:t>
            </w:r>
          </w:p>
        </w:tc>
        <w:tc>
          <w:tcPr>
            <w:tcW w:w="3061"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乡村道路桥梁</w:t>
            </w:r>
          </w:p>
        </w:tc>
        <w:tc>
          <w:tcPr>
            <w:tcW w:w="1843" w:type="dxa"/>
            <w:vMerge w:val="restart"/>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71" w:type="dxa"/>
            <w:vMerge w:val="continue"/>
            <w:tcBorders>
              <w:tl2br w:val="nil"/>
              <w:tr2bl w:val="nil"/>
            </w:tcBorders>
            <w:vAlign w:val="center"/>
          </w:tcPr>
          <w:p>
            <w:pPr>
              <w:pStyle w:val="23"/>
              <w:autoSpaceDE/>
              <w:autoSpaceDN/>
              <w:rPr>
                <w:rFonts w:eastAsiaTheme="minorEastAsia"/>
                <w:bCs/>
                <w:lang w:val="en-US"/>
              </w:rPr>
            </w:pPr>
          </w:p>
        </w:tc>
        <w:tc>
          <w:tcPr>
            <w:tcW w:w="1544" w:type="dxa"/>
            <w:vMerge w:val="continue"/>
            <w:tcBorders>
              <w:tl2br w:val="nil"/>
              <w:tr2bl w:val="nil"/>
            </w:tcBorders>
            <w:vAlign w:val="center"/>
          </w:tcPr>
          <w:p>
            <w:pPr>
              <w:pStyle w:val="23"/>
              <w:autoSpaceDE/>
              <w:autoSpaceDN/>
              <w:rPr>
                <w:rFonts w:eastAsiaTheme="minorEastAsia"/>
                <w:bCs/>
                <w:lang w:val="en-US"/>
              </w:rPr>
            </w:pPr>
          </w:p>
        </w:tc>
        <w:tc>
          <w:tcPr>
            <w:tcW w:w="3061"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京港澳高速公路桥</w:t>
            </w:r>
          </w:p>
        </w:tc>
        <w:tc>
          <w:tcPr>
            <w:tcW w:w="1843" w:type="dxa"/>
            <w:vMerge w:val="continue"/>
            <w:tcBorders>
              <w:tl2br w:val="nil"/>
              <w:tr2bl w:val="nil"/>
            </w:tcBorders>
            <w:vAlign w:val="center"/>
          </w:tcPr>
          <w:p>
            <w:pPr>
              <w:autoSpaceDE/>
              <w:autoSpaceDN/>
              <w:jc w:val="center"/>
              <w:rPr>
                <w:rFonts w:ascii="Times New Roman" w:hAnsi="Times New Roman" w:cs="Times New Roman"/>
                <w:bCs/>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71" w:type="dxa"/>
            <w:vMerge w:val="continue"/>
            <w:tcBorders>
              <w:tl2br w:val="nil"/>
              <w:tr2bl w:val="nil"/>
            </w:tcBorders>
            <w:vAlign w:val="center"/>
          </w:tcPr>
          <w:p>
            <w:pPr>
              <w:pStyle w:val="23"/>
              <w:autoSpaceDE/>
              <w:autoSpaceDN/>
              <w:rPr>
                <w:rFonts w:eastAsiaTheme="minorEastAsia"/>
                <w:bCs/>
                <w:lang w:val="en-US"/>
              </w:rPr>
            </w:pPr>
          </w:p>
        </w:tc>
        <w:tc>
          <w:tcPr>
            <w:tcW w:w="1544" w:type="dxa"/>
            <w:vMerge w:val="continue"/>
            <w:tcBorders>
              <w:tl2br w:val="nil"/>
              <w:tr2bl w:val="nil"/>
            </w:tcBorders>
            <w:vAlign w:val="center"/>
          </w:tcPr>
          <w:p>
            <w:pPr>
              <w:pStyle w:val="23"/>
              <w:autoSpaceDE/>
              <w:autoSpaceDN/>
              <w:rPr>
                <w:rFonts w:eastAsiaTheme="minorEastAsia"/>
                <w:bCs/>
                <w:lang w:val="en-US"/>
              </w:rPr>
            </w:pPr>
          </w:p>
        </w:tc>
        <w:tc>
          <w:tcPr>
            <w:tcW w:w="3061"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乡村道路桥梁</w:t>
            </w:r>
          </w:p>
        </w:tc>
        <w:tc>
          <w:tcPr>
            <w:tcW w:w="1843" w:type="dxa"/>
            <w:vMerge w:val="continue"/>
            <w:tcBorders>
              <w:tl2br w:val="nil"/>
              <w:tr2bl w:val="nil"/>
            </w:tcBorders>
            <w:vAlign w:val="center"/>
          </w:tcPr>
          <w:p>
            <w:pPr>
              <w:autoSpaceDE/>
              <w:autoSpaceDN/>
              <w:jc w:val="center"/>
              <w:rPr>
                <w:rFonts w:ascii="Times New Roman" w:hAnsi="Times New Roman" w:cs="Times New Roman"/>
                <w:bCs/>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71" w:type="dxa"/>
            <w:vMerge w:val="continue"/>
            <w:tcBorders>
              <w:tl2br w:val="nil"/>
              <w:tr2bl w:val="nil"/>
            </w:tcBorders>
            <w:vAlign w:val="center"/>
          </w:tcPr>
          <w:p>
            <w:pPr>
              <w:pStyle w:val="23"/>
              <w:autoSpaceDE/>
              <w:autoSpaceDN/>
              <w:rPr>
                <w:rFonts w:eastAsiaTheme="minorEastAsia"/>
                <w:bCs/>
                <w:lang w:val="en-US"/>
              </w:rPr>
            </w:pPr>
          </w:p>
        </w:tc>
        <w:tc>
          <w:tcPr>
            <w:tcW w:w="1544" w:type="dxa"/>
            <w:vMerge w:val="continue"/>
            <w:tcBorders>
              <w:tl2br w:val="nil"/>
              <w:tr2bl w:val="nil"/>
            </w:tcBorders>
            <w:vAlign w:val="center"/>
          </w:tcPr>
          <w:p>
            <w:pPr>
              <w:pStyle w:val="23"/>
              <w:autoSpaceDE/>
              <w:autoSpaceDN/>
              <w:rPr>
                <w:rFonts w:eastAsiaTheme="minorEastAsia"/>
                <w:bCs/>
                <w:lang w:val="en-US"/>
              </w:rPr>
            </w:pPr>
          </w:p>
        </w:tc>
        <w:tc>
          <w:tcPr>
            <w:tcW w:w="3061"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武广高铁桥梁</w:t>
            </w:r>
          </w:p>
        </w:tc>
        <w:tc>
          <w:tcPr>
            <w:tcW w:w="1843" w:type="dxa"/>
            <w:vMerge w:val="continue"/>
            <w:tcBorders>
              <w:tl2br w:val="nil"/>
              <w:tr2bl w:val="nil"/>
            </w:tcBorders>
            <w:vAlign w:val="center"/>
          </w:tcPr>
          <w:p>
            <w:pPr>
              <w:autoSpaceDE/>
              <w:autoSpaceDN/>
              <w:jc w:val="center"/>
              <w:rPr>
                <w:rFonts w:ascii="Times New Roman" w:hAnsi="Times New Roman" w:cs="Times New Roman"/>
                <w:bCs/>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71" w:type="dxa"/>
            <w:vMerge w:val="continue"/>
            <w:tcBorders>
              <w:tl2br w:val="nil"/>
              <w:tr2bl w:val="nil"/>
            </w:tcBorders>
            <w:vAlign w:val="center"/>
          </w:tcPr>
          <w:p>
            <w:pPr>
              <w:pStyle w:val="23"/>
              <w:autoSpaceDE/>
              <w:autoSpaceDN/>
              <w:rPr>
                <w:rFonts w:eastAsiaTheme="minorEastAsia"/>
                <w:bCs/>
                <w:lang w:val="en-US"/>
              </w:rPr>
            </w:pPr>
          </w:p>
        </w:tc>
        <w:tc>
          <w:tcPr>
            <w:tcW w:w="1544" w:type="dxa"/>
            <w:vMerge w:val="continue"/>
            <w:tcBorders>
              <w:tl2br w:val="nil"/>
              <w:tr2bl w:val="nil"/>
            </w:tcBorders>
            <w:vAlign w:val="center"/>
          </w:tcPr>
          <w:p>
            <w:pPr>
              <w:pStyle w:val="23"/>
              <w:autoSpaceDE/>
              <w:autoSpaceDN/>
              <w:rPr>
                <w:rFonts w:eastAsiaTheme="minorEastAsia"/>
                <w:bCs/>
                <w:lang w:val="en-US"/>
              </w:rPr>
            </w:pPr>
          </w:p>
        </w:tc>
        <w:tc>
          <w:tcPr>
            <w:tcW w:w="3061"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乡村道路桥梁</w:t>
            </w:r>
          </w:p>
        </w:tc>
        <w:tc>
          <w:tcPr>
            <w:tcW w:w="1843" w:type="dxa"/>
            <w:vMerge w:val="continue"/>
            <w:tcBorders>
              <w:tl2br w:val="nil"/>
              <w:tr2bl w:val="nil"/>
            </w:tcBorders>
            <w:vAlign w:val="center"/>
          </w:tcPr>
          <w:p>
            <w:pPr>
              <w:autoSpaceDE/>
              <w:autoSpaceDN/>
              <w:jc w:val="center"/>
              <w:rPr>
                <w:rFonts w:ascii="Times New Roman" w:hAnsi="Times New Roman" w:cs="Times New Roman"/>
                <w:bCs/>
                <w:sz w:val="21"/>
                <w:szCs w:val="21"/>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71" w:type="dxa"/>
            <w:vMerge w:val="continue"/>
            <w:tcBorders>
              <w:tl2br w:val="nil"/>
              <w:tr2bl w:val="nil"/>
            </w:tcBorders>
            <w:vAlign w:val="center"/>
          </w:tcPr>
          <w:p>
            <w:pPr>
              <w:pStyle w:val="23"/>
              <w:autoSpaceDE/>
              <w:autoSpaceDN/>
              <w:rPr>
                <w:rFonts w:eastAsiaTheme="minorEastAsia"/>
                <w:bCs/>
                <w:lang w:val="en-US"/>
              </w:rPr>
            </w:pPr>
          </w:p>
        </w:tc>
        <w:tc>
          <w:tcPr>
            <w:tcW w:w="1544" w:type="dxa"/>
            <w:vMerge w:val="continue"/>
            <w:tcBorders>
              <w:tl2br w:val="nil"/>
              <w:tr2bl w:val="nil"/>
            </w:tcBorders>
            <w:vAlign w:val="center"/>
          </w:tcPr>
          <w:p>
            <w:pPr>
              <w:pStyle w:val="23"/>
              <w:autoSpaceDE/>
              <w:autoSpaceDN/>
              <w:rPr>
                <w:rFonts w:eastAsiaTheme="minorEastAsia"/>
                <w:bCs/>
                <w:lang w:val="en-US"/>
              </w:rPr>
            </w:pPr>
          </w:p>
        </w:tc>
        <w:tc>
          <w:tcPr>
            <w:tcW w:w="3061" w:type="dxa"/>
            <w:tcBorders>
              <w:tl2br w:val="nil"/>
              <w:tr2bl w:val="nil"/>
            </w:tcBorders>
            <w:vAlign w:val="center"/>
          </w:tcPr>
          <w:p>
            <w:pPr>
              <w:pStyle w:val="23"/>
              <w:autoSpaceDE/>
              <w:autoSpaceDN/>
              <w:rPr>
                <w:rFonts w:eastAsiaTheme="minorEastAsia"/>
                <w:bCs/>
                <w:lang w:val="en-US"/>
              </w:rPr>
            </w:pPr>
            <w:r>
              <w:rPr>
                <w:rFonts w:hint="eastAsia" w:eastAsiaTheme="minorEastAsia"/>
                <w:bCs/>
                <w:lang w:val="en-US"/>
              </w:rPr>
              <w:t>乡村道路桥梁</w:t>
            </w:r>
          </w:p>
        </w:tc>
        <w:tc>
          <w:tcPr>
            <w:tcW w:w="1843" w:type="dxa"/>
            <w:vMerge w:val="continue"/>
            <w:tcBorders>
              <w:tl2br w:val="nil"/>
              <w:tr2bl w:val="nil"/>
            </w:tcBorders>
            <w:vAlign w:val="center"/>
          </w:tcPr>
          <w:p>
            <w:pPr>
              <w:autoSpaceDE/>
              <w:autoSpaceDN/>
              <w:jc w:val="center"/>
              <w:rPr>
                <w:rFonts w:ascii="Times New Roman" w:hAnsi="Times New Roman" w:cs="Times New Roman"/>
                <w:bCs/>
                <w:sz w:val="21"/>
                <w:szCs w:val="21"/>
                <w:lang w:val="en-US" w:bidi="ar-SA"/>
              </w:rPr>
            </w:pPr>
          </w:p>
        </w:tc>
      </w:tr>
    </w:tbl>
    <w:p/>
    <w:p>
      <w:pPr>
        <w:pStyle w:val="24"/>
        <w:ind w:firstLine="0" w:firstLineChars="0"/>
        <w:rPr>
          <w:rFonts w:cs="Times New Roman"/>
          <w:b/>
          <w:bCs/>
          <w:lang w:val="en-US"/>
        </w:rPr>
        <w:sectPr>
          <w:pgSz w:w="11906" w:h="16838"/>
          <w:pgMar w:top="1440" w:right="1800" w:bottom="1440" w:left="1800" w:header="1134" w:footer="992" w:gutter="0"/>
          <w:pgNumType w:fmt="numberInDash"/>
          <w:cols w:space="425" w:num="1"/>
          <w:docGrid w:type="lines" w:linePitch="312" w:charSpace="0"/>
        </w:sectPr>
      </w:pPr>
    </w:p>
    <w:p>
      <w:pPr>
        <w:pStyle w:val="3"/>
        <w:jc w:val="both"/>
        <w:rPr>
          <w:sz w:val="32"/>
          <w:szCs w:val="32"/>
        </w:rPr>
      </w:pPr>
      <w:bookmarkStart w:id="255" w:name="_Toc20961"/>
      <w:bookmarkStart w:id="256" w:name="_Toc13327"/>
      <w:bookmarkStart w:id="257" w:name="_Toc72337770"/>
      <w:r>
        <w:rPr>
          <w:rFonts w:hint="eastAsia"/>
          <w:sz w:val="32"/>
          <w:szCs w:val="32"/>
        </w:rPr>
        <w:t xml:space="preserve">附件 </w:t>
      </w:r>
      <w:r>
        <w:rPr>
          <w:rFonts w:hint="eastAsia"/>
          <w:sz w:val="32"/>
          <w:szCs w:val="32"/>
          <w:lang w:val="en-US"/>
        </w:rPr>
        <w:t>9</w:t>
      </w:r>
      <w:r>
        <w:rPr>
          <w:rFonts w:hint="eastAsia"/>
          <w:sz w:val="32"/>
          <w:szCs w:val="32"/>
        </w:rPr>
        <w:t xml:space="preserve"> 赤壁市乡镇级集中式饮用水水源地突发环境事件情景应急处置措施</w:t>
      </w:r>
      <w:bookmarkEnd w:id="255"/>
      <w:bookmarkEnd w:id="256"/>
      <w:bookmarkEnd w:id="257"/>
    </w:p>
    <w:tbl>
      <w:tblPr>
        <w:tblStyle w:val="20"/>
        <w:tblW w:w="8948" w:type="dxa"/>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41"/>
        <w:gridCol w:w="723"/>
        <w:gridCol w:w="2483"/>
        <w:gridCol w:w="5101"/>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blHeader/>
        </w:trPr>
        <w:tc>
          <w:tcPr>
            <w:tcW w:w="641"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水源地</w:t>
            </w:r>
          </w:p>
        </w:tc>
        <w:tc>
          <w:tcPr>
            <w:tcW w:w="72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突发事件类型</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事件引发或次生突发环境事件情景</w:t>
            </w:r>
          </w:p>
        </w:tc>
        <w:tc>
          <w:tcPr>
            <w:tcW w:w="5101"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处置措施</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restart"/>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石人泉水库水源地</w:t>
            </w:r>
          </w:p>
        </w:tc>
        <w:tc>
          <w:tcPr>
            <w:tcW w:w="72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lang w:val="en-US"/>
              </w:rPr>
            </w:pPr>
            <w:r>
              <w:rPr>
                <w:rFonts w:hint="eastAsia" w:eastAsiaTheme="minorEastAsia"/>
                <w:bCs/>
                <w:lang w:val="en-US"/>
              </w:rPr>
              <w:t>流动源</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车辆经过水库沿岸道路路段碰撞导致翻车油品泄漏</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可启动路面系统的导流槽、应急池或紧急设置围堰、闸坝等，对污染源进行围堵并收集污染物。</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p>
        </w:tc>
        <w:tc>
          <w:tcPr>
            <w:tcW w:w="723" w:type="dxa"/>
            <w:vMerge w:val="restart"/>
            <w:tcBorders>
              <w:tl2br w:val="nil"/>
              <w:tr2bl w:val="nil"/>
            </w:tcBorders>
            <w:tcMar>
              <w:top w:w="0" w:type="dxa"/>
              <w:left w:w="108" w:type="dxa"/>
              <w:bottom w:w="0" w:type="dxa"/>
              <w:right w:w="108" w:type="dxa"/>
            </w:tcMar>
            <w:vAlign w:val="center"/>
          </w:tcPr>
          <w:p>
            <w:pPr>
              <w:pStyle w:val="23"/>
              <w:autoSpaceDE/>
              <w:autoSpaceDN/>
              <w:rPr>
                <w:rFonts w:eastAsiaTheme="minorEastAsia"/>
                <w:bCs/>
                <w:lang w:val="en-US"/>
              </w:rPr>
            </w:pPr>
            <w:r>
              <w:rPr>
                <w:rFonts w:hint="eastAsia" w:eastAsiaTheme="minorEastAsia"/>
                <w:bCs/>
                <w:lang w:val="en-US"/>
              </w:rPr>
              <w:t>非点源</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暴雨冲刷农田或果园土壤，导致大量农药、化肥等随地表或地下径流进入水库</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可启动临时设置的导流槽等对雨水口垃圾清运和拦截。</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p>
        </w:tc>
        <w:tc>
          <w:tcPr>
            <w:tcW w:w="723"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lang w:val="en-US"/>
              </w:rPr>
            </w:pP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居民日常生活污水排放，COD、氨氮、总磷、总氮污染物浓度高</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应开展分散式、低成本的小型人工湿地、无</w:t>
            </w:r>
            <w:r>
              <w:rPr>
                <w:rFonts w:hint="eastAsia" w:eastAsiaTheme="minorEastAsia"/>
                <w:bCs/>
              </w:rPr>
              <w:t>（</w:t>
            </w:r>
            <w:r>
              <w:rPr>
                <w:rFonts w:eastAsiaTheme="minorEastAsia"/>
                <w:bCs/>
              </w:rPr>
              <w:t>微</w:t>
            </w:r>
            <w:r>
              <w:rPr>
                <w:rFonts w:hint="eastAsia" w:eastAsiaTheme="minorEastAsia"/>
                <w:bCs/>
              </w:rPr>
              <w:t>）</w:t>
            </w:r>
            <w:r>
              <w:rPr>
                <w:rFonts w:eastAsiaTheme="minorEastAsia"/>
                <w:bCs/>
              </w:rPr>
              <w:t>动力处理设施和氧化塘等方式对生活污水进行处理，处理后的污水还田。</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p>
        </w:tc>
        <w:tc>
          <w:tcPr>
            <w:tcW w:w="72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lang w:val="en-US"/>
              </w:rPr>
            </w:pPr>
            <w:r>
              <w:rPr>
                <w:rFonts w:hint="eastAsia" w:eastAsiaTheme="minorEastAsia"/>
                <w:bCs/>
                <w:lang w:val="en-US"/>
              </w:rPr>
              <w:t>水华灾害</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总氮、总磷等污染物浓度过高</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当水库藻类大规模爆发时，根据实际情况，对上游实施调水冲污，遏制和减缓河流藻类生长；将藻类迅速打捞出水。打捞可采取人工捞取或者机动表层抽吸；放养合适的生物或者动物；可考虑加入适当的化学药剂</w:t>
            </w:r>
            <w:r>
              <w:rPr>
                <w:rFonts w:hint="eastAsia" w:eastAsiaTheme="minorEastAsia"/>
                <w:bCs/>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restart"/>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白石水库水源地</w:t>
            </w:r>
          </w:p>
        </w:tc>
        <w:tc>
          <w:tcPr>
            <w:tcW w:w="72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流动源</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车辆经过水库沿岸道路路段碰撞导致翻车油品泄漏</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可启动路面系统的导流槽、应急池或紧急设置围堰、闸坝等，对污染源进行围堵并收集污染物。</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p>
        </w:tc>
        <w:tc>
          <w:tcPr>
            <w:tcW w:w="72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水华灾害</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总氮、总磷等污染物浓度过高</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当水库藻类大规模爆发时，根据实际情况，对上游实施调水冲污，遏制和减缓河流藻类生长；将藻类迅速打捞出水。打捞可采取人工捞取或者机动表层抽吸；放养合适的生物或者动物；可考虑加入适当的化学药剂</w:t>
            </w:r>
            <w:r>
              <w:rPr>
                <w:rFonts w:hint="eastAsia" w:eastAsiaTheme="minorEastAsia"/>
                <w:bCs/>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restart"/>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燎燃水库水源地</w:t>
            </w:r>
          </w:p>
        </w:tc>
        <w:tc>
          <w:tcPr>
            <w:tcW w:w="72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流动源</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车辆经过水库沿岸道路路段碰撞导致翻车油品泄漏</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可启动路面系统的导流槽、应急池或紧急设置围堰、闸坝等，对污染源进行围堵并收集污染物。</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p>
        </w:tc>
        <w:tc>
          <w:tcPr>
            <w:tcW w:w="72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非点源</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暴雨冲刷农田或果园土壤，导致大量农药、化肥等随地表或地下径流进入水库</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可启动临时设置的导流槽等对雨水口垃圾清运和拦截。</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p>
        </w:tc>
        <w:tc>
          <w:tcPr>
            <w:tcW w:w="72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水华灾害</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总氮、总磷等污染物浓度过高</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当水库藻类大规模爆发时，根据实际情况，对上游实施调水冲污，遏制和减缓河流藻类生长；将藻类迅速打捞出水。打捞可采取人工捞取或者机动表层抽吸；放养合适的生物或者动物；可考虑加入适当的化学药剂</w:t>
            </w:r>
            <w:r>
              <w:rPr>
                <w:rFonts w:hint="eastAsia" w:eastAsiaTheme="minorEastAsia"/>
                <w:bCs/>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restart"/>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松柏湖水库水源地</w:t>
            </w:r>
          </w:p>
        </w:tc>
        <w:tc>
          <w:tcPr>
            <w:tcW w:w="72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流动源</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车辆经过水库沿岸道路路段碰撞导致翻车油品泄漏</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可启动路面系统的导流槽、应急池或紧急设置围堰、闸坝等，对污染源进行围堵并收集污染物。</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p>
        </w:tc>
        <w:tc>
          <w:tcPr>
            <w:tcW w:w="723" w:type="dxa"/>
            <w:vMerge w:val="restart"/>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非点源</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暴雨冲刷农田或果园土壤，导致大量农药、化肥等随地表或地下径流进入水库</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可启动临时设置的导流槽等对雨水口垃圾清运和拦截。</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p>
        </w:tc>
        <w:tc>
          <w:tcPr>
            <w:tcW w:w="723"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lang w:val="en-US"/>
              </w:rPr>
            </w:pP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居民日常生活污水排放，COD、氨氮、总磷、总氮污染物浓度高</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应开展分散式、低成本的小型人工湿地、无</w:t>
            </w:r>
            <w:r>
              <w:rPr>
                <w:rFonts w:hint="eastAsia" w:eastAsiaTheme="minorEastAsia"/>
                <w:bCs/>
              </w:rPr>
              <w:t>（</w:t>
            </w:r>
            <w:r>
              <w:rPr>
                <w:rFonts w:eastAsiaTheme="minorEastAsia"/>
                <w:bCs/>
              </w:rPr>
              <w:t>微</w:t>
            </w:r>
            <w:r>
              <w:rPr>
                <w:rFonts w:hint="eastAsia" w:eastAsiaTheme="minorEastAsia"/>
                <w:bCs/>
              </w:rPr>
              <w:t>）</w:t>
            </w:r>
            <w:r>
              <w:rPr>
                <w:rFonts w:eastAsiaTheme="minorEastAsia"/>
                <w:bCs/>
              </w:rPr>
              <w:t>动力处理设施和氧化塘等方式对生活污水进行处理，处理后的污水还田。</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p>
        </w:tc>
        <w:tc>
          <w:tcPr>
            <w:tcW w:w="72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水华灾害</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总氮、总磷等污染物浓度过高</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当水库藻类大规模爆发时，根据实际情况，对上游实施调水冲污，遏制和减缓河流藻类生长；将藻类迅速打捞出水。打捞可采取人工捞取或者机动表层抽吸；放养合适的生物或者动物；可考虑加入适当的化学药剂</w:t>
            </w:r>
            <w:r>
              <w:rPr>
                <w:rFonts w:hint="eastAsia" w:eastAsiaTheme="minorEastAsia"/>
                <w:bCs/>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restart"/>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上矶水源地</w:t>
            </w:r>
          </w:p>
        </w:tc>
        <w:tc>
          <w:tcPr>
            <w:tcW w:w="723" w:type="dxa"/>
            <w:vMerge w:val="restart"/>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流动源</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船舶经过水源地保护区发生碰撞发生或停靠码头是发生污染物泄露</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hint="eastAsia" w:eastAsiaTheme="minorEastAsia"/>
                <w:bCs/>
                <w:lang w:val="en-US"/>
              </w:rPr>
              <w:t>可启动打捞设备、油毡、围油栏、筑坝材料、溢出控制装备等对水体内污染物进行打捞和拦截</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lang w:val="en-US"/>
              </w:rPr>
            </w:pPr>
          </w:p>
        </w:tc>
        <w:tc>
          <w:tcPr>
            <w:tcW w:w="723"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lang w:val="en-US"/>
              </w:rPr>
            </w:pP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lang w:val="en-US"/>
              </w:rPr>
            </w:pPr>
            <w:r>
              <w:rPr>
                <w:rFonts w:eastAsiaTheme="minorEastAsia"/>
                <w:bCs/>
              </w:rPr>
              <w:t>车辆经过</w:t>
            </w:r>
            <w:r>
              <w:rPr>
                <w:rFonts w:hint="eastAsia" w:eastAsiaTheme="minorEastAsia"/>
                <w:bCs/>
                <w:lang w:val="en-US"/>
              </w:rPr>
              <w:t>长江</w:t>
            </w:r>
            <w:r>
              <w:rPr>
                <w:rFonts w:eastAsiaTheme="minorEastAsia"/>
                <w:bCs/>
              </w:rPr>
              <w:t>沿岸道路路段碰撞导致翻车油品泄漏</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lang w:val="en-US"/>
              </w:rPr>
            </w:pPr>
            <w:r>
              <w:rPr>
                <w:rFonts w:eastAsiaTheme="minorEastAsia"/>
                <w:bCs/>
              </w:rPr>
              <w:t>可启动路面系统的导流槽、应急池或紧急设置围堰、闸坝等，对污染源进行围堵并收集污染物。</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p>
        </w:tc>
        <w:tc>
          <w:tcPr>
            <w:tcW w:w="72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非点源</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暴雨冲刷农田或果园土壤，导致大量农药、化肥等随地表或地下径流进入水库</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可启动临时设置的导流槽等对雨水口垃圾清运和拦截。</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restart"/>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前进水库水源地</w:t>
            </w:r>
          </w:p>
        </w:tc>
        <w:tc>
          <w:tcPr>
            <w:tcW w:w="72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流动源</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车辆经过水库沿岸道路路段碰撞导致翻车油品泄漏</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可启动路面系统的导流槽、应急池或紧急设置围堰、闸坝等，对污染源进行围堵并收集污染物。</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p>
        </w:tc>
        <w:tc>
          <w:tcPr>
            <w:tcW w:w="723" w:type="dxa"/>
            <w:vMerge w:val="restart"/>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非点源</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暴雨冲刷农田或果园土壤，导致大量农药、化肥等随地表或地下径流进入水库</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可启动临时设置的导流槽等对雨水口垃圾清运和拦截。</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p>
        </w:tc>
        <w:tc>
          <w:tcPr>
            <w:tcW w:w="723"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lang w:val="en-US"/>
              </w:rPr>
            </w:pP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居民日常生活污水排放，COD、氨氮、总磷、总氮污染物浓度高</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应开展分散式、低成本的小型人工湿地、无</w:t>
            </w:r>
            <w:r>
              <w:rPr>
                <w:rFonts w:hint="eastAsia" w:eastAsiaTheme="minorEastAsia"/>
                <w:bCs/>
              </w:rPr>
              <w:t>（</w:t>
            </w:r>
            <w:r>
              <w:rPr>
                <w:rFonts w:eastAsiaTheme="minorEastAsia"/>
                <w:bCs/>
              </w:rPr>
              <w:t>微</w:t>
            </w:r>
            <w:r>
              <w:rPr>
                <w:rFonts w:hint="eastAsia" w:eastAsiaTheme="minorEastAsia"/>
                <w:bCs/>
              </w:rPr>
              <w:t>）</w:t>
            </w:r>
            <w:r>
              <w:rPr>
                <w:rFonts w:eastAsiaTheme="minorEastAsia"/>
                <w:bCs/>
              </w:rPr>
              <w:t>动力处理设施和氧化塘等方式对生活污水进行处理，处理后的污水还田。</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p>
        </w:tc>
        <w:tc>
          <w:tcPr>
            <w:tcW w:w="72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水华灾害</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总氮、总磷等污染物浓度过高</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当水库藻类大规模爆发时，根据实际情况，对上游实施调水冲污，遏制和减缓河流藻类生长；将藻类迅速打捞出水。打捞可采取人工捞取或者机动表层抽吸；放养合适的生物或者动物；可考虑加入适当的化学药剂</w:t>
            </w:r>
            <w:r>
              <w:rPr>
                <w:rFonts w:hint="eastAsia" w:eastAsiaTheme="minorEastAsia"/>
                <w:bCs/>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双石水库水源地</w:t>
            </w:r>
          </w:p>
        </w:tc>
        <w:tc>
          <w:tcPr>
            <w:tcW w:w="72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水华灾害</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总氮、总磷等污染物浓度过高</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当水库藻类大规模爆发时，根据实际情况，对上游实施调水冲污，遏制和减缓河流藻类生长；将藻类迅速打捞出水。打捞可采取人工捞取或者机动表层抽吸；放养合适的生物或者动物；可考虑加入适当的化学药剂</w:t>
            </w:r>
            <w:r>
              <w:rPr>
                <w:rFonts w:hint="eastAsia" w:eastAsiaTheme="minorEastAsia"/>
                <w:bCs/>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restart"/>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张家坝水库水源地</w:t>
            </w:r>
          </w:p>
        </w:tc>
        <w:tc>
          <w:tcPr>
            <w:tcW w:w="72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流动源</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车辆经过水库沿岸道路路段碰撞导致翻车油品泄漏</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可启动路面系统的导流槽、应急池或紧急设置围堰、闸坝等，对污染源进行围堵并收集污染物。</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p>
        </w:tc>
        <w:tc>
          <w:tcPr>
            <w:tcW w:w="723" w:type="dxa"/>
            <w:vMerge w:val="restart"/>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非点源</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暴雨冲刷农田或果园土壤，导致大量农药、化肥等随地表或地下径流进入水库</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可启动临时设置的导流槽等对雨水口垃圾清运和拦截。</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p>
        </w:tc>
        <w:tc>
          <w:tcPr>
            <w:tcW w:w="723"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lang w:val="en-US"/>
              </w:rPr>
            </w:pP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居民日常生活污水排放，COD、氨氮、总磷、总氮污染物浓度高</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应开展分散式、低成本的小型人工湿地、无</w:t>
            </w:r>
            <w:r>
              <w:rPr>
                <w:rFonts w:hint="eastAsia" w:eastAsiaTheme="minorEastAsia"/>
                <w:bCs/>
              </w:rPr>
              <w:t>（</w:t>
            </w:r>
            <w:r>
              <w:rPr>
                <w:rFonts w:eastAsiaTheme="minorEastAsia"/>
                <w:bCs/>
              </w:rPr>
              <w:t>微</w:t>
            </w:r>
            <w:r>
              <w:rPr>
                <w:rFonts w:hint="eastAsia" w:eastAsiaTheme="minorEastAsia"/>
                <w:bCs/>
              </w:rPr>
              <w:t>）</w:t>
            </w:r>
            <w:r>
              <w:rPr>
                <w:rFonts w:eastAsiaTheme="minorEastAsia"/>
                <w:bCs/>
              </w:rPr>
              <w:t>动力处理设施和氧化塘等方式对生活污水进行处理，处理后的污水还田。</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p>
        </w:tc>
        <w:tc>
          <w:tcPr>
            <w:tcW w:w="72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水华灾害</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总氮、总磷等污染物浓度过高</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当水库藻类大规模爆发时，根据实际情况，对上游实施调水冲污，遏制和减缓河流藻类生长；将藻类迅速打捞出水。打捞可采取人工捞取或者机动表层抽吸；放养合适的生物或者动物；可考虑加入适当的化学药剂</w:t>
            </w:r>
            <w:r>
              <w:rPr>
                <w:rFonts w:hint="eastAsia" w:eastAsiaTheme="minorEastAsia"/>
                <w:bCs/>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restart"/>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皤河水源地</w:t>
            </w:r>
          </w:p>
        </w:tc>
        <w:tc>
          <w:tcPr>
            <w:tcW w:w="72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流动源</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车辆经过水库</w:t>
            </w:r>
            <w:r>
              <w:rPr>
                <w:rFonts w:hint="eastAsia" w:eastAsiaTheme="minorEastAsia"/>
                <w:bCs/>
                <w:lang w:val="en-US"/>
              </w:rPr>
              <w:t>沿岸或上游</w:t>
            </w:r>
            <w:r>
              <w:rPr>
                <w:rFonts w:eastAsiaTheme="minorEastAsia"/>
                <w:bCs/>
              </w:rPr>
              <w:t>道路路段碰撞导致翻车油品泄漏</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可启动路面系统的导流槽、应急池或紧急设置围堰、闸坝等，对污染源进行围堵并收集污染物。</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cantSplit/>
          <w:trHeight w:val="397" w:hRule="atLeast"/>
        </w:trPr>
        <w:tc>
          <w:tcPr>
            <w:tcW w:w="641" w:type="dxa"/>
            <w:vMerge w:val="continue"/>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p>
        </w:tc>
        <w:tc>
          <w:tcPr>
            <w:tcW w:w="72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hint="eastAsia" w:eastAsiaTheme="minorEastAsia"/>
                <w:bCs/>
                <w:lang w:val="en-US"/>
              </w:rPr>
              <w:t>非点源</w:t>
            </w:r>
          </w:p>
        </w:tc>
        <w:tc>
          <w:tcPr>
            <w:tcW w:w="2483" w:type="dxa"/>
            <w:tcBorders>
              <w:tl2br w:val="nil"/>
              <w:tr2bl w:val="nil"/>
            </w:tcBorders>
            <w:tcMar>
              <w:top w:w="0" w:type="dxa"/>
              <w:left w:w="108" w:type="dxa"/>
              <w:bottom w:w="0" w:type="dxa"/>
              <w:right w:w="108" w:type="dxa"/>
            </w:tcMar>
            <w:vAlign w:val="center"/>
          </w:tcPr>
          <w:p>
            <w:pPr>
              <w:pStyle w:val="23"/>
              <w:autoSpaceDE/>
              <w:autoSpaceDN/>
              <w:rPr>
                <w:rFonts w:eastAsiaTheme="minorEastAsia"/>
                <w:bCs/>
              </w:rPr>
            </w:pPr>
            <w:r>
              <w:rPr>
                <w:rFonts w:eastAsiaTheme="minorEastAsia"/>
                <w:bCs/>
              </w:rPr>
              <w:t>暴雨冲刷农田或果园土壤，导致大量农药、化肥等随地表或地下径流进入水库</w:t>
            </w:r>
          </w:p>
        </w:tc>
        <w:tc>
          <w:tcPr>
            <w:tcW w:w="5101" w:type="dxa"/>
            <w:tcBorders>
              <w:tl2br w:val="nil"/>
              <w:tr2bl w:val="nil"/>
            </w:tcBorders>
            <w:tcMar>
              <w:top w:w="0" w:type="dxa"/>
              <w:left w:w="108" w:type="dxa"/>
              <w:bottom w:w="0" w:type="dxa"/>
              <w:right w:w="108" w:type="dxa"/>
            </w:tcMar>
            <w:vAlign w:val="center"/>
          </w:tcPr>
          <w:p>
            <w:pPr>
              <w:pStyle w:val="23"/>
              <w:autoSpaceDE/>
              <w:autoSpaceDN/>
              <w:jc w:val="left"/>
              <w:rPr>
                <w:rFonts w:eastAsiaTheme="minorEastAsia"/>
                <w:bCs/>
              </w:rPr>
            </w:pPr>
            <w:r>
              <w:rPr>
                <w:rFonts w:eastAsiaTheme="minorEastAsia"/>
                <w:bCs/>
              </w:rPr>
              <w:t>可启动临时设置的导流槽等对雨水口垃圾清运和拦截。</w:t>
            </w:r>
          </w:p>
        </w:tc>
      </w:tr>
    </w:tbl>
    <w:p/>
    <w:p>
      <w:pPr>
        <w:pStyle w:val="24"/>
        <w:ind w:firstLine="0" w:firstLineChars="0"/>
        <w:rPr>
          <w:rFonts w:hint="eastAsia" w:cs="Times New Roman"/>
          <w:b/>
          <w:bCs/>
          <w:lang w:val="en-US"/>
        </w:rPr>
      </w:pPr>
    </w:p>
    <w:sectPr>
      <w:pgSz w:w="11906" w:h="16838"/>
      <w:pgMar w:top="2041" w:right="1587" w:bottom="1587" w:left="1587" w:header="1134"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方正小标宋_GBK">
    <w:altName w:val="Arial Unicode MS"/>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Microsoft JhengHei">
    <w:panose1 w:val="020B0604030504040204"/>
    <w:charset w:val="88"/>
    <w:family w:val="swiss"/>
    <w:pitch w:val="default"/>
    <w:sig w:usb0="000002A7" w:usb1="28CF4400" w:usb2="00000016" w:usb3="00000000" w:csb0="00100009"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8"/>
      </w:rPr>
    </w:pPr>
    <w:r>
      <w:rPr>
        <w:sz w:val="20"/>
        <w:lang w:val="en-US" w:bidi="ar-SA"/>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- 4 -</w:t>
                          </w:r>
                          <w:r>
                            <w:rPr>
                              <w:rFonts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rnWARAgAACQQAAA4AAABkcnMvZTJvRG9jLnhtbK1TzY7TMBC+I/EO&#10;lu80aRGrUj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CTt5RoprCj04/vp58Pp1/fCHwgqLV+hryNRWbo3pkOix78Hs44&#10;d1c5Fb+YiCAOqo8XekUXCI+XppPpNEeIIzb8AD97vG6dD++FUSQaBXXYX6KVHdY+9KlDSqymzaqR&#10;Mu1QatIW9Or1m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YWudYBECAAAJBAAADgAAAAAAAAABACAA&#10;AAAfAQAAZHJzL2Uyb0RvYy54bWxQSwUGAAAAAAYABgBZAQAAogUAAAAA&#10;">
              <v:fill on="f" focussize="0,0"/>
              <v:stroke on="f" weight="0.5pt"/>
              <v:imagedata o:title=""/>
              <o:lock v:ext="edit" aspectratio="f"/>
              <v:textbox inset="0mm,0mm,0mm,0mm" style="mso-fit-shape-to-text:t;">
                <w:txbxContent>
                  <w:p>
                    <w:pPr>
                      <w:pStyle w:val="9"/>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- 4 -</w:t>
                    </w:r>
                    <w:r>
                      <w:rPr>
                        <w:rFonts w:hint="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8"/>
      </w:rPr>
    </w:pPr>
    <w:r>
      <w:rPr>
        <w:sz w:val="20"/>
        <w:lang w:val="en-US" w:bidi="ar-SA"/>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- 16 -</w:t>
                          </w:r>
                          <w:r>
                            <w:rPr>
                              <w:rFonts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fill on="f" focussize="0,0"/>
              <v:stroke on="f" weight="0.5pt"/>
              <v:imagedata o:title=""/>
              <o:lock v:ext="edit" aspectratio="f"/>
              <v:textbox inset="0mm,0mm,0mm,0mm" style="mso-fit-shape-to-text:t;">
                <w:txbxContent>
                  <w:p>
                    <w:pPr>
                      <w:pStyle w:val="9"/>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- 16 -</w:t>
                    </w:r>
                    <w:r>
                      <w:rPr>
                        <w:rFonts w:hint="eastAsia"/>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lang w:val="en-US" w:bidi="ar-SA"/>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- 21 -</w:t>
                          </w:r>
                          <w:r>
                            <w:rPr>
                              <w:rFonts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6MNYPAgAABwQAAA4AAABkcnMvZTJvRG9jLnhtbK1TzY7TMBC+I/EO&#10;lu80aVFX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vJ7m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Nn6MNYPAgAABwQAAA4AAAAAAAAAAQAgAAAA&#10;HwEAAGRycy9lMm9Eb2MueG1sUEsFBgAAAAAGAAYAWQEAAKAFAAAAAA==&#10;">
              <v:fill on="f" focussize="0,0"/>
              <v:stroke on="f" weight="0.5pt"/>
              <v:imagedata o:title=""/>
              <o:lock v:ext="edit" aspectratio="f"/>
              <v:textbox inset="0mm,0mm,0mm,0mm" style="mso-fit-shape-to-text:t;">
                <w:txbxContent>
                  <w:p>
                    <w:pPr>
                      <w:pStyle w:val="9"/>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- 21 -</w:t>
                    </w:r>
                    <w:r>
                      <w:rPr>
                        <w:rFonts w:hint="eastAsia"/>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lang w:val="en-US" w:bidi="ar-SA"/>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- 41 -</w:t>
                          </w:r>
                          <w:r>
                            <w:rPr>
                              <w:rFonts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&#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UEyylQ4CAAAHBAAADgAAAAAAAAABACAAAAAf&#10;AQAAZHJzL2Uyb0RvYy54bWxQSwUGAAAAAAYABgBZAQAAnwUAAAAA&#10;">
              <v:fill on="f" focussize="0,0"/>
              <v:stroke on="f" weight="0.5pt"/>
              <v:imagedata o:title=""/>
              <o:lock v:ext="edit" aspectratio="f"/>
              <v:textbox inset="0mm,0mm,0mm,0mm" style="mso-fit-shape-to-text:t;">
                <w:txbxContent>
                  <w:p>
                    <w:pPr>
                      <w:pStyle w:val="9"/>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- 41 -</w:t>
                    </w:r>
                    <w:r>
                      <w:rPr>
                        <w:rFonts w:hint="eastAsia"/>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lang w:val="en-US" w:bidi="ar-SA"/>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- 70 -</w:t>
                          </w:r>
                          <w:r>
                            <w:rPr>
                              <w:rFonts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j4x0QAgAABwQAAA4AAABkcnMvZTJvRG9jLnhtbK1TzY7TMBC+I/EO&#10;lu80aRG7Vd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oI+MdEAIAAAcEAAAOAAAAAAAAAAEAIAAA&#10;AB8BAABkcnMvZTJvRG9jLnhtbFBLBQYAAAAABgAGAFkBAAChBQAAAAA=&#10;">
              <v:fill on="f" focussize="0,0"/>
              <v:stroke on="f" weight="0.5pt"/>
              <v:imagedata o:title=""/>
              <o:lock v:ext="edit" aspectratio="f"/>
              <v:textbox inset="0mm,0mm,0mm,0mm" style="mso-fit-shape-to-text:t;">
                <w:txbxContent>
                  <w:p>
                    <w:pPr>
                      <w:pStyle w:val="9"/>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- 70 -</w:t>
                    </w:r>
                    <w:r>
                      <w:rPr>
                        <w:rFonts w:hint="eastAsia"/>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1"/>
        <w:szCs w:val="21"/>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FC8615"/>
    <w:multiLevelType w:val="singleLevel"/>
    <w:tmpl w:val="CCFC8615"/>
    <w:lvl w:ilvl="0" w:tentative="0">
      <w:start w:val="2"/>
      <w:numFmt w:val="decimal"/>
      <w:suff w:val="space"/>
      <w:lvlText w:val="%1."/>
      <w:lvlJc w:val="left"/>
    </w:lvl>
  </w:abstractNum>
  <w:abstractNum w:abstractNumId="1">
    <w:nsid w:val="21810D2C"/>
    <w:multiLevelType w:val="multilevel"/>
    <w:tmpl w:val="21810D2C"/>
    <w:lvl w:ilvl="0" w:tentative="0">
      <w:start w:val="1"/>
      <w:numFmt w:val="decimal"/>
      <w:pStyle w:val="33"/>
      <w:lvlText w:val="%1."/>
      <w:lvlJc w:val="left"/>
      <w:pPr>
        <w:tabs>
          <w:tab w:val="left" w:pos="425"/>
        </w:tabs>
        <w:ind w:left="425" w:hanging="425"/>
      </w:pPr>
      <w:rPr>
        <w:rFonts w:hint="eastAsia"/>
      </w:rPr>
    </w:lvl>
    <w:lvl w:ilvl="1" w:tentative="0">
      <w:start w:val="1"/>
      <w:numFmt w:val="decimal"/>
      <w:pStyle w:val="34"/>
      <w:lvlText w:val="%1.%2."/>
      <w:lvlJc w:val="left"/>
      <w:pPr>
        <w:tabs>
          <w:tab w:val="left" w:pos="567"/>
        </w:tabs>
        <w:ind w:left="567" w:hanging="567"/>
      </w:pPr>
      <w:rPr>
        <w:rFonts w:hint="eastAsia" w:cs="Times New Roman"/>
        <w:b/>
        <w:bCs w:val="0"/>
        <w:i w:val="0"/>
        <w:iCs w:val="0"/>
        <w:caps w:val="0"/>
        <w:smallCaps w:val="0"/>
        <w:strike w:val="0"/>
        <w:dstrike w:val="0"/>
        <w:vanish w:val="0"/>
        <w:spacing w:val="0"/>
        <w:kern w:val="0"/>
        <w:position w:val="0"/>
        <w:u w:val="none"/>
        <w:vertAlign w:val="baseline"/>
      </w:rPr>
    </w:lvl>
    <w:lvl w:ilvl="2" w:tentative="0">
      <w:start w:val="1"/>
      <w:numFmt w:val="decimal"/>
      <w:suff w:val="space"/>
      <w:lvlText w:val="%1.%2.%3."/>
      <w:lvlJc w:val="left"/>
      <w:pPr>
        <w:ind w:left="0" w:firstLine="0"/>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HorizontalSpacing w:val="110"/>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B43"/>
    <w:rsid w:val="001562D2"/>
    <w:rsid w:val="001A6694"/>
    <w:rsid w:val="001F040D"/>
    <w:rsid w:val="00232B43"/>
    <w:rsid w:val="00633C85"/>
    <w:rsid w:val="006E5428"/>
    <w:rsid w:val="018319DF"/>
    <w:rsid w:val="0225764B"/>
    <w:rsid w:val="04D247CD"/>
    <w:rsid w:val="05E13E3A"/>
    <w:rsid w:val="06F76CE6"/>
    <w:rsid w:val="085E3E28"/>
    <w:rsid w:val="08B14C5A"/>
    <w:rsid w:val="0C465D6A"/>
    <w:rsid w:val="0D6C4310"/>
    <w:rsid w:val="0E7A7362"/>
    <w:rsid w:val="104B158A"/>
    <w:rsid w:val="125A5F48"/>
    <w:rsid w:val="16414562"/>
    <w:rsid w:val="18A11E28"/>
    <w:rsid w:val="18D95D34"/>
    <w:rsid w:val="19410191"/>
    <w:rsid w:val="1A510EF4"/>
    <w:rsid w:val="1AB17792"/>
    <w:rsid w:val="1ACF65B0"/>
    <w:rsid w:val="1B18770C"/>
    <w:rsid w:val="1B6D32FB"/>
    <w:rsid w:val="1D8E623B"/>
    <w:rsid w:val="1E1E3B00"/>
    <w:rsid w:val="1E890070"/>
    <w:rsid w:val="1F5E41C7"/>
    <w:rsid w:val="20AC683E"/>
    <w:rsid w:val="20EF051D"/>
    <w:rsid w:val="21E9420E"/>
    <w:rsid w:val="230C035C"/>
    <w:rsid w:val="25B43E59"/>
    <w:rsid w:val="276B58ED"/>
    <w:rsid w:val="2A67486F"/>
    <w:rsid w:val="2AA9737D"/>
    <w:rsid w:val="2ADD277A"/>
    <w:rsid w:val="2C45113D"/>
    <w:rsid w:val="2D2823CC"/>
    <w:rsid w:val="2E0D3712"/>
    <w:rsid w:val="2EEF6D2E"/>
    <w:rsid w:val="2F19571B"/>
    <w:rsid w:val="2F9E3481"/>
    <w:rsid w:val="300651A8"/>
    <w:rsid w:val="315A2354"/>
    <w:rsid w:val="32955908"/>
    <w:rsid w:val="34367B34"/>
    <w:rsid w:val="34FF2AD0"/>
    <w:rsid w:val="3778057D"/>
    <w:rsid w:val="37964DB4"/>
    <w:rsid w:val="37E9451A"/>
    <w:rsid w:val="388F3744"/>
    <w:rsid w:val="38F86589"/>
    <w:rsid w:val="39550928"/>
    <w:rsid w:val="39C6753B"/>
    <w:rsid w:val="3A7D15E3"/>
    <w:rsid w:val="3D76401B"/>
    <w:rsid w:val="3FB90EE7"/>
    <w:rsid w:val="3FD602A7"/>
    <w:rsid w:val="40092706"/>
    <w:rsid w:val="4059236E"/>
    <w:rsid w:val="41612A91"/>
    <w:rsid w:val="43ED128A"/>
    <w:rsid w:val="45C27175"/>
    <w:rsid w:val="47025373"/>
    <w:rsid w:val="470B001D"/>
    <w:rsid w:val="47232FD3"/>
    <w:rsid w:val="49364025"/>
    <w:rsid w:val="4A9B5FF1"/>
    <w:rsid w:val="4C110C59"/>
    <w:rsid w:val="4C9F241C"/>
    <w:rsid w:val="4CC341F4"/>
    <w:rsid w:val="4E782775"/>
    <w:rsid w:val="4F1A130A"/>
    <w:rsid w:val="504142F7"/>
    <w:rsid w:val="5105215C"/>
    <w:rsid w:val="510922FD"/>
    <w:rsid w:val="52740C9D"/>
    <w:rsid w:val="527A725A"/>
    <w:rsid w:val="567F1C8E"/>
    <w:rsid w:val="56CC0419"/>
    <w:rsid w:val="57043E9C"/>
    <w:rsid w:val="58D23BBA"/>
    <w:rsid w:val="5A295954"/>
    <w:rsid w:val="5A97492F"/>
    <w:rsid w:val="5CA01E1A"/>
    <w:rsid w:val="5DB80CE9"/>
    <w:rsid w:val="5E9327D1"/>
    <w:rsid w:val="5F993939"/>
    <w:rsid w:val="60CA5B0B"/>
    <w:rsid w:val="60D06B31"/>
    <w:rsid w:val="613A68B3"/>
    <w:rsid w:val="61A06A7F"/>
    <w:rsid w:val="626F1DFC"/>
    <w:rsid w:val="642765F8"/>
    <w:rsid w:val="688A3E9B"/>
    <w:rsid w:val="6A421F51"/>
    <w:rsid w:val="6B9F4E9C"/>
    <w:rsid w:val="70A41C03"/>
    <w:rsid w:val="770B24E3"/>
    <w:rsid w:val="77F4002B"/>
    <w:rsid w:val="789E004C"/>
    <w:rsid w:val="78E01F33"/>
    <w:rsid w:val="79425FD7"/>
    <w:rsid w:val="7B9C38E5"/>
    <w:rsid w:val="7BD7631C"/>
    <w:rsid w:val="7C563DE7"/>
    <w:rsid w:val="7F057784"/>
    <w:rsid w:val="7F9266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semiHidden="0" w:name="heading 2"/>
    <w:lsdException w:qFormat="1"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1"/>
    <w:pPr>
      <w:spacing w:line="360" w:lineRule="auto"/>
      <w:jc w:val="center"/>
      <w:outlineLvl w:val="0"/>
    </w:pPr>
    <w:rPr>
      <w:rFonts w:ascii="Times New Roman" w:hAnsi="Times New Roman" w:cs="Times New Roman"/>
      <w:b/>
      <w:bCs/>
      <w:sz w:val="36"/>
      <w:szCs w:val="36"/>
    </w:rPr>
  </w:style>
  <w:style w:type="paragraph" w:styleId="4">
    <w:name w:val="heading 2"/>
    <w:basedOn w:val="1"/>
    <w:next w:val="1"/>
    <w:unhideWhenUsed/>
    <w:qFormat/>
    <w:uiPriority w:val="0"/>
    <w:pPr>
      <w:keepNext/>
      <w:keepLines/>
      <w:spacing w:before="260" w:after="260" w:line="413" w:lineRule="auto"/>
      <w:outlineLvl w:val="1"/>
    </w:pPr>
    <w:rPr>
      <w:rFonts w:ascii="Arial" w:hAnsi="Arial"/>
      <w:b/>
      <w:sz w:val="32"/>
    </w:rPr>
  </w:style>
  <w:style w:type="paragraph" w:styleId="5">
    <w:name w:val="heading 3"/>
    <w:basedOn w:val="1"/>
    <w:next w:val="1"/>
    <w:unhideWhenUsed/>
    <w:qFormat/>
    <w:uiPriority w:val="0"/>
    <w:pPr>
      <w:keepNext/>
      <w:keepLines/>
      <w:spacing w:line="360" w:lineRule="auto"/>
      <w:outlineLvl w:val="2"/>
    </w:pPr>
    <w:rPr>
      <w:rFonts w:ascii="Times New Roman" w:hAnsi="Times New Roman"/>
      <w:b/>
      <w:sz w:val="28"/>
      <w:szCs w:val="28"/>
    </w:rPr>
  </w:style>
  <w:style w:type="paragraph" w:styleId="6">
    <w:name w:val="heading 4"/>
    <w:basedOn w:val="1"/>
    <w:next w:val="1"/>
    <w:qFormat/>
    <w:uiPriority w:val="1"/>
    <w:pPr>
      <w:ind w:left="779"/>
      <w:outlineLvl w:val="3"/>
    </w:pPr>
    <w:rPr>
      <w:rFonts w:ascii="微软雅黑" w:hAnsi="微软雅黑" w:eastAsia="微软雅黑" w:cs="微软雅黑"/>
      <w:b/>
      <w:bCs/>
      <w:sz w:val="28"/>
      <w:szCs w:val="28"/>
    </w:rPr>
  </w:style>
  <w:style w:type="character" w:default="1" w:styleId="14">
    <w:name w:val="Default Paragraph Font"/>
    <w:semiHidden/>
    <w:unhideWhenUsed/>
    <w:qFormat/>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3"/>
    <w:basedOn w:val="1"/>
    <w:qFormat/>
    <w:uiPriority w:val="0"/>
    <w:pPr>
      <w:spacing w:after="120"/>
    </w:pPr>
    <w:rPr>
      <w:sz w:val="16"/>
      <w:szCs w:val="16"/>
    </w:rPr>
  </w:style>
  <w:style w:type="paragraph" w:styleId="7">
    <w:name w:val="Body Text"/>
    <w:basedOn w:val="1"/>
    <w:qFormat/>
    <w:uiPriority w:val="1"/>
    <w:rPr>
      <w:sz w:val="28"/>
      <w:szCs w:val="28"/>
    </w:rPr>
  </w:style>
  <w:style w:type="paragraph" w:styleId="8">
    <w:name w:val="toc 3"/>
    <w:basedOn w:val="1"/>
    <w:next w:val="1"/>
    <w:qFormat/>
    <w:uiPriority w:val="39"/>
    <w:pPr>
      <w:spacing w:before="153"/>
      <w:ind w:left="1013"/>
    </w:pPr>
    <w:rPr>
      <w:sz w:val="24"/>
      <w:szCs w:val="24"/>
    </w:rPr>
  </w:style>
  <w:style w:type="paragraph" w:styleId="9">
    <w:name w:val="footer"/>
    <w:basedOn w:val="1"/>
    <w:qFormat/>
    <w:uiPriority w:val="0"/>
    <w:pPr>
      <w:tabs>
        <w:tab w:val="center" w:pos="4153"/>
        <w:tab w:val="right" w:pos="8306"/>
      </w:tabs>
      <w:snapToGrid w:val="0"/>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1">
    <w:name w:val="toc 1"/>
    <w:basedOn w:val="1"/>
    <w:next w:val="1"/>
    <w:qFormat/>
    <w:uiPriority w:val="39"/>
    <w:pPr>
      <w:spacing w:before="18"/>
      <w:ind w:left="382" w:right="575" w:hanging="383"/>
    </w:pPr>
    <w:rPr>
      <w:rFonts w:ascii="微软雅黑" w:hAnsi="微软雅黑" w:eastAsia="微软雅黑" w:cs="微软雅黑"/>
      <w:b/>
      <w:bCs/>
      <w:sz w:val="24"/>
      <w:szCs w:val="24"/>
    </w:rPr>
  </w:style>
  <w:style w:type="paragraph" w:styleId="12">
    <w:name w:val="toc 2"/>
    <w:basedOn w:val="1"/>
    <w:next w:val="1"/>
    <w:qFormat/>
    <w:uiPriority w:val="39"/>
    <w:pPr>
      <w:spacing w:before="74"/>
      <w:ind w:left="382" w:hanging="241"/>
    </w:pPr>
    <w:rPr>
      <w:rFonts w:ascii="微软雅黑" w:hAnsi="微软雅黑" w:eastAsia="微软雅黑" w:cs="微软雅黑"/>
      <w:b/>
      <w:bCs/>
      <w:sz w:val="24"/>
      <w:szCs w:val="24"/>
    </w:rPr>
  </w:style>
  <w:style w:type="paragraph" w:styleId="13">
    <w:name w:val="Normal (Web)"/>
    <w:basedOn w:val="1"/>
    <w:qFormat/>
    <w:uiPriority w:val="0"/>
    <w:pPr>
      <w:spacing w:beforeAutospacing="1" w:afterAutospacing="1"/>
    </w:pPr>
    <w:rPr>
      <w:rFonts w:cs="Times New Roman"/>
      <w:sz w:val="24"/>
      <w:lang w:val="en-US" w:bidi="ar-SA"/>
    </w:rPr>
  </w:style>
  <w:style w:type="character" w:styleId="15">
    <w:name w:val="Strong"/>
    <w:basedOn w:val="14"/>
    <w:qFormat/>
    <w:uiPriority w:val="0"/>
    <w:rPr>
      <w:b/>
    </w:rPr>
  </w:style>
  <w:style w:type="character" w:styleId="16">
    <w:name w:val="FollowedHyperlink"/>
    <w:basedOn w:val="14"/>
    <w:qFormat/>
    <w:uiPriority w:val="0"/>
    <w:rPr>
      <w:color w:val="771CAA"/>
      <w:u w:val="none"/>
    </w:rPr>
  </w:style>
  <w:style w:type="character" w:styleId="17">
    <w:name w:val="Emphasis"/>
    <w:basedOn w:val="14"/>
    <w:qFormat/>
    <w:uiPriority w:val="0"/>
    <w:rPr>
      <w:color w:val="F73131"/>
    </w:rPr>
  </w:style>
  <w:style w:type="character" w:styleId="18">
    <w:name w:val="Hyperlink"/>
    <w:basedOn w:val="14"/>
    <w:qFormat/>
    <w:uiPriority w:val="99"/>
    <w:rPr>
      <w:color w:val="2440B3"/>
      <w:u w:val="none"/>
    </w:rPr>
  </w:style>
  <w:style w:type="character" w:styleId="19">
    <w:name w:val="HTML Cite"/>
    <w:basedOn w:val="14"/>
    <w:qFormat/>
    <w:uiPriority w:val="0"/>
    <w:rPr>
      <w:color w:val="008000"/>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2">
    <w:name w:val="Default"/>
    <w:unhideWhenUsed/>
    <w:qFormat/>
    <w:uiPriority w:val="0"/>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23">
    <w:name w:val="Table Paragraph"/>
    <w:basedOn w:val="1"/>
    <w:qFormat/>
    <w:uiPriority w:val="1"/>
    <w:pPr>
      <w:jc w:val="center"/>
    </w:pPr>
    <w:rPr>
      <w:rFonts w:ascii="Times New Roman" w:hAnsi="Times New Roman" w:cs="Times New Roman"/>
      <w:sz w:val="21"/>
      <w:szCs w:val="21"/>
    </w:rPr>
  </w:style>
  <w:style w:type="paragraph" w:customStyle="1" w:styleId="24">
    <w:name w:val="报告正文"/>
    <w:basedOn w:val="1"/>
    <w:qFormat/>
    <w:uiPriority w:val="0"/>
    <w:pPr>
      <w:spacing w:line="360" w:lineRule="auto"/>
      <w:ind w:firstLine="1041" w:firstLineChars="200"/>
      <w:jc w:val="both"/>
    </w:pPr>
    <w:rPr>
      <w:rFonts w:ascii="Times New Roman" w:hAnsi="Times New Roman"/>
      <w:sz w:val="28"/>
      <w:szCs w:val="24"/>
    </w:rPr>
  </w:style>
  <w:style w:type="paragraph" w:styleId="25">
    <w:name w:val="List Paragraph"/>
    <w:basedOn w:val="1"/>
    <w:qFormat/>
    <w:uiPriority w:val="1"/>
    <w:pPr>
      <w:ind w:left="1399" w:hanging="702"/>
    </w:pPr>
  </w:style>
  <w:style w:type="paragraph" w:customStyle="1" w:styleId="26">
    <w:name w:val="表格小五"/>
    <w:basedOn w:val="1"/>
    <w:qFormat/>
    <w:uiPriority w:val="0"/>
    <w:pPr>
      <w:spacing w:line="280" w:lineRule="exact"/>
      <w:jc w:val="center"/>
    </w:pPr>
    <w:rPr>
      <w:rFonts w:ascii="Arial" w:hAnsi="Arial"/>
      <w:sz w:val="18"/>
      <w:szCs w:val="18"/>
    </w:rPr>
  </w:style>
  <w:style w:type="paragraph" w:customStyle="1" w:styleId="27">
    <w:name w:val="DY表格"/>
    <w:basedOn w:val="28"/>
    <w:next w:val="28"/>
    <w:qFormat/>
    <w:uiPriority w:val="0"/>
    <w:pPr>
      <w:spacing w:line="240" w:lineRule="auto"/>
      <w:ind w:firstLine="0"/>
      <w:jc w:val="center"/>
    </w:pPr>
    <w:rPr>
      <w:sz w:val="21"/>
      <w:szCs w:val="21"/>
    </w:rPr>
  </w:style>
  <w:style w:type="paragraph" w:customStyle="1" w:styleId="28">
    <w:name w:val="DY正文"/>
    <w:basedOn w:val="1"/>
    <w:qFormat/>
    <w:uiPriority w:val="0"/>
    <w:pPr>
      <w:adjustRightInd w:val="0"/>
      <w:snapToGrid w:val="0"/>
      <w:spacing w:line="480" w:lineRule="exact"/>
      <w:ind w:firstLine="600"/>
    </w:pPr>
    <w:rPr>
      <w:rFonts w:ascii="Times New Roman" w:hAnsi="Times New Roman"/>
    </w:rPr>
  </w:style>
  <w:style w:type="paragraph" w:customStyle="1" w:styleId="29">
    <w:name w:val="ST正文"/>
    <w:basedOn w:val="30"/>
    <w:qFormat/>
    <w:uiPriority w:val="0"/>
    <w:pPr>
      <w:spacing w:before="60" w:line="360" w:lineRule="auto"/>
      <w:ind w:firstLine="200" w:firstLineChars="200"/>
    </w:pPr>
    <w:rPr>
      <w:rFonts w:ascii="Times New Roman" w:eastAsia="宋体"/>
      <w:spacing w:val="0"/>
    </w:rPr>
  </w:style>
  <w:style w:type="paragraph" w:customStyle="1" w:styleId="30">
    <w:name w:val="susan正文"/>
    <w:basedOn w:val="1"/>
    <w:qFormat/>
    <w:uiPriority w:val="0"/>
    <w:pPr>
      <w:adjustRightInd w:val="0"/>
      <w:spacing w:line="360" w:lineRule="atLeast"/>
      <w:ind w:firstLine="510"/>
    </w:pPr>
    <w:rPr>
      <w:rFonts w:eastAsia="楷体_GB2312"/>
      <w:spacing w:val="20"/>
      <w:sz w:val="24"/>
      <w:szCs w:val="20"/>
    </w:rPr>
  </w:style>
  <w:style w:type="paragraph" w:customStyle="1" w:styleId="31">
    <w:name w:val="0正文"/>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32">
    <w:name w:val="样式 ST正文 + 首行缩进:  2 字符"/>
    <w:basedOn w:val="29"/>
    <w:qFormat/>
    <w:uiPriority w:val="0"/>
  </w:style>
  <w:style w:type="paragraph" w:customStyle="1" w:styleId="33">
    <w:name w:val="ST1标题"/>
    <w:basedOn w:val="1"/>
    <w:qFormat/>
    <w:uiPriority w:val="0"/>
    <w:pPr>
      <w:numPr>
        <w:ilvl w:val="0"/>
        <w:numId w:val="1"/>
      </w:numPr>
      <w:spacing w:before="240" w:after="240" w:line="360" w:lineRule="auto"/>
      <w:jc w:val="center"/>
      <w:outlineLvl w:val="0"/>
    </w:pPr>
    <w:rPr>
      <w:b/>
      <w:sz w:val="44"/>
    </w:rPr>
  </w:style>
  <w:style w:type="paragraph" w:customStyle="1" w:styleId="34">
    <w:name w:val="ST2标题"/>
    <w:basedOn w:val="1"/>
    <w:qFormat/>
    <w:uiPriority w:val="0"/>
    <w:pPr>
      <w:numPr>
        <w:ilvl w:val="1"/>
        <w:numId w:val="1"/>
      </w:numPr>
      <w:spacing w:before="120" w:after="120" w:line="360" w:lineRule="auto"/>
      <w:ind w:left="0" w:firstLine="0"/>
      <w:outlineLvl w:val="1"/>
    </w:pPr>
    <w:rPr>
      <w:b/>
      <w:sz w:val="32"/>
    </w:rPr>
  </w:style>
  <w:style w:type="paragraph" w:customStyle="1" w:styleId="35">
    <w:name w:val="正文-预案"/>
    <w:basedOn w:val="36"/>
    <w:qFormat/>
    <w:uiPriority w:val="0"/>
    <w:pPr>
      <w:spacing w:line="360" w:lineRule="auto"/>
    </w:pPr>
  </w:style>
  <w:style w:type="paragraph" w:customStyle="1" w:styleId="36">
    <w:name w:val="正文01"/>
    <w:basedOn w:val="1"/>
    <w:qFormat/>
    <w:uiPriority w:val="0"/>
    <w:pPr>
      <w:spacing w:before="60" w:line="460" w:lineRule="exact"/>
      <w:ind w:firstLine="200" w:firstLineChars="200"/>
    </w:pPr>
    <w:rPr>
      <w:sz w:val="24"/>
    </w:rPr>
  </w:style>
  <w:style w:type="paragraph" w:customStyle="1" w:styleId="37">
    <w:name w:val="WPSOffice手动目录 1"/>
    <w:qFormat/>
    <w:uiPriority w:val="0"/>
    <w:rPr>
      <w:rFonts w:ascii="Times New Roman" w:hAnsi="Times New Roman" w:eastAsia="宋体" w:cs="Times New Roman"/>
      <w:lang w:val="en-US" w:eastAsia="zh-CN" w:bidi="ar-SA"/>
    </w:rPr>
  </w:style>
  <w:style w:type="paragraph" w:customStyle="1" w:styleId="3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9">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0">
    <w:name w:val="表格内容"/>
    <w:basedOn w:val="1"/>
    <w:qFormat/>
    <w:uiPriority w:val="0"/>
    <w:pPr>
      <w:adjustRightInd w:val="0"/>
      <w:spacing w:line="300" w:lineRule="exact"/>
      <w:jc w:val="center"/>
    </w:pPr>
    <w:rPr>
      <w:rFonts w:eastAsia="楷体_GB2312"/>
      <w:snapToGrid w:val="0"/>
      <w:color w:val="000000"/>
      <w:szCs w:val="20"/>
    </w:rPr>
  </w:style>
  <w:style w:type="paragraph" w:customStyle="1" w:styleId="41">
    <w:name w:val="Table caption|1"/>
    <w:basedOn w:val="1"/>
    <w:qFormat/>
    <w:uiPriority w:val="0"/>
    <w:rPr>
      <w:sz w:val="15"/>
      <w:szCs w:val="15"/>
      <w:lang w:val="zh-TW" w:eastAsia="zh-TW" w:bidi="zh-TW"/>
    </w:rPr>
  </w:style>
  <w:style w:type="paragraph" w:customStyle="1" w:styleId="42">
    <w:name w:val="Other|1"/>
    <w:basedOn w:val="1"/>
    <w:qFormat/>
    <w:uiPriority w:val="0"/>
    <w:pPr>
      <w:spacing w:after="40" w:line="434" w:lineRule="auto"/>
      <w:ind w:firstLine="320"/>
    </w:pPr>
    <w:rPr>
      <w:sz w:val="15"/>
      <w:szCs w:val="15"/>
      <w:lang w:val="zh-TW" w:eastAsia="zh-TW" w:bidi="zh-TW"/>
    </w:rPr>
  </w:style>
  <w:style w:type="paragraph" w:customStyle="1" w:styleId="43">
    <w:name w:val="Picture caption|1"/>
    <w:basedOn w:val="1"/>
    <w:qFormat/>
    <w:uiPriority w:val="0"/>
    <w:rPr>
      <w:sz w:val="15"/>
      <w:szCs w:val="15"/>
      <w:lang w:val="zh-TW" w:eastAsia="zh-TW" w:bidi="zh-TW"/>
    </w:rPr>
  </w:style>
  <w:style w:type="paragraph" w:customStyle="1" w:styleId="44">
    <w:name w:val="Header or footer|1"/>
    <w:basedOn w:val="1"/>
    <w:qFormat/>
    <w:uiPriority w:val="0"/>
    <w:rPr>
      <w:i/>
      <w:iCs/>
      <w:sz w:val="12"/>
      <w:szCs w:val="12"/>
      <w:lang w:val="zh-TW" w:eastAsia="zh-TW" w:bidi="zh-TW"/>
    </w:rPr>
  </w:style>
  <w:style w:type="paragraph" w:customStyle="1" w:styleId="45">
    <w:name w:val="Body text|1"/>
    <w:basedOn w:val="1"/>
    <w:qFormat/>
    <w:uiPriority w:val="0"/>
    <w:pPr>
      <w:spacing w:after="40" w:line="434" w:lineRule="auto"/>
      <w:ind w:firstLine="320"/>
    </w:pPr>
    <w:rPr>
      <w:sz w:val="15"/>
      <w:szCs w:val="15"/>
      <w:lang w:val="zh-TW" w:eastAsia="zh-TW" w:bidi="zh-TW"/>
    </w:rPr>
  </w:style>
  <w:style w:type="paragraph" w:customStyle="1" w:styleId="46">
    <w:name w:val="Other|2"/>
    <w:basedOn w:val="1"/>
    <w:qFormat/>
    <w:uiPriority w:val="0"/>
    <w:rPr>
      <w:sz w:val="13"/>
      <w:szCs w:val="13"/>
      <w:lang w:val="zh-TW" w:eastAsia="zh-TW" w:bidi="zh-TW"/>
    </w:rPr>
  </w:style>
  <w:style w:type="paragraph" w:customStyle="1" w:styleId="47">
    <w:name w:val="Header or footer|2"/>
    <w:basedOn w:val="1"/>
    <w:qFormat/>
    <w:uiPriority w:val="0"/>
    <w:rPr>
      <w:sz w:val="20"/>
      <w:szCs w:val="20"/>
      <w:lang w:val="zh-TW" w:eastAsia="zh-TW" w:bidi="zh-TW"/>
    </w:rPr>
  </w:style>
  <w:style w:type="character" w:customStyle="1" w:styleId="48">
    <w:name w:val="c-icon28"/>
    <w:basedOn w:val="14"/>
    <w:qFormat/>
    <w:uiPriority w:val="0"/>
  </w:style>
  <w:style w:type="character" w:customStyle="1" w:styleId="49">
    <w:name w:val="hover23"/>
    <w:basedOn w:val="14"/>
    <w:qFormat/>
    <w:uiPriority w:val="0"/>
  </w:style>
  <w:style w:type="character" w:customStyle="1" w:styleId="50">
    <w:name w:val="hover24"/>
    <w:basedOn w:val="14"/>
    <w:qFormat/>
    <w:uiPriority w:val="0"/>
    <w:rPr>
      <w:color w:val="315EFB"/>
    </w:rPr>
  </w:style>
  <w:style w:type="character" w:customStyle="1" w:styleId="51">
    <w:name w:val="hover25"/>
    <w:basedOn w:val="14"/>
    <w:qFormat/>
    <w:uiPriority w:val="0"/>
    <w:rPr>
      <w:color w:val="315EFB"/>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1</Pages>
  <Words>4783</Words>
  <Characters>27267</Characters>
  <Lines>227</Lines>
  <Paragraphs>63</Paragraphs>
  <TotalTime>22</TotalTime>
  <ScaleCrop>false</ScaleCrop>
  <LinksUpToDate>false</LinksUpToDate>
  <CharactersWithSpaces>31987</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2021-05-19T09:39:00Z</dcterms:created>
  <dc:creator>39369</dc:creator>
  <cp:lastModifiedBy>依旧</cp:lastModifiedBy>
  <cp:lastPrinted>2021-05-20T03:05:00Z</cp:lastPrinted>
  <dcterms:modified xsi:type="dcterms:W3CDTF">2021-06-10T01:17:08Z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ICV">
    <vt:lpwstr>4ADBE8851CE6443E8D2751954C52BFC6</vt:lpwstr>
  </property>
  <property fmtid="{D5CDD505-2E9C-101B-9397-08002B2CF9AE}" pid="4" name="KSOSaveFontToCloudKey">
    <vt:lpwstr>733806689_btnclosed</vt:lpwstr>
  </property>
</Properties>
</file>