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en-US" w:eastAsia="zh-CN" w:bidi="ar"/>
        </w:rPr>
        <w:t>关于动态调整政府性基金项目清单的通知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落实省政府优化营商环境“清、减、降”工作要求,市财政局对《赤壁市政府性基金项目清单》进行了第5次更新,本次更新的清单同步在赤壁市政府网站进行公开,并请各相关单位严格执行收费清单规定的收费标准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附件:赤壁市政府性基金项目清单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sectPr>
          <w:pgSz w:w="11906" w:h="16838"/>
          <w:pgMar w:top="1800" w:right="1440" w:bottom="1800" w:left="1440" w:header="851" w:footer="992" w:gutter="0"/>
          <w:cols w:space="0" w:num="1"/>
          <w:rtlGutter w:val="0"/>
          <w:docGrid w:type="lines" w:linePitch="443" w:charSpace="0"/>
        </w:sect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赤壁市政府性基金项目清单</w:t>
      </w:r>
    </w:p>
    <w:tbl>
      <w:tblPr>
        <w:tblStyle w:val="5"/>
        <w:tblW w:w="14927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155"/>
        <w:gridCol w:w="1575"/>
        <w:gridCol w:w="6240"/>
        <w:gridCol w:w="2879"/>
        <w:gridCol w:w="2505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资金管理方式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政策依据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征收方式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征收标准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水利建设基金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缴入中央和地方国库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《中华人民共和国防洪法》，财综字〔1998〕125号，财综〔2011〕2号，财综函〔2011〕33号，财办综〔2011〕111号，财税函〔2016〕291号，财税〔2016〕12号，财税〔2017〕18号,财税〔2020〕9号，财税〔2020〕72号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中央水利建设基金从车辆购置税、铁路建设基金等收入中提取；地方水利建设基金从地方收取的部分税费收入中提取，经财政部批准后省、自治区、直辖市可向企事业单位等征收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征收标准按省、自治区、直辖市有关规定执行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城市基础设施配套费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缴入地方国库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国发〔1998〕34号，财综函〔2002〕3号，财综〔2007〕53号，财税〔2019〕53号，财政部 税务总局 发展改革委 民政部 商务部 卫生健康委公告2019年第76号</w:t>
            </w:r>
          </w:p>
        </w:tc>
        <w:tc>
          <w:tcPr>
            <w:tcW w:w="5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具体征收方式和征收标准按省、自治区、直辖市有关规定执行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教育费附加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缴入中央和地方国库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《中华人民共和国教育法》，国发〔1986〕50号(国务院令第60号修改发布），国发明电〔1994〕2号、23号，财综〔2007〕53号，国发〔2010〕35号，财税〔2010〕103号，财税〔2016〕12号，财税〔2019〕13号，财税〔2019〕21号，财税〔2019〕22号，财税〔2019〕46号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按单位和个人实际缴纳增值税、消费税税额计征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3%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地方教育附加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缴入地方国库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《中华人民共和国教育法》，财综〔2001〕58号，财综函〔2003〕2号、9号、10号、12号、13号、14号、15号、16号、18号，财综〔2004〕73号，财综函〔2005〕33号，财综〔2006〕2号、61号，财综函〔2006〕9号，财综函〔2007〕45号，财综〔2007〕53号，财综函〔2008〕7号，财综函〔2010〕2号、3号、7号、8号、11号、71号、72号、73号、75号、76号、78号、79号、80号，财综〔2010〕98号，财综函〔2011〕1号、2号、3号、4号、5号、6号、7号、8号、9号、10号、11号、12号、13号、15号、16号、17号、57号，财税〔2016〕12号，财税〔2018〕70号，财税〔2019〕13号，财税〔2019〕21号，财税〔2019〕22号，财税〔2019〕46号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按单位和个人实际缴纳增值税、消费税税额计征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2%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资金管理方式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政策依据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征收方式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征收标准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文化事业建设费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缴入中央和地方国库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国发〔1996〕37号，国办发〔2006〕43号，财综〔2007〕3号，财综〔2013〕102号，财文字〔1997〕243号，财预字〔1996〕469号，财税〔2016〕25号，财税〔2016〕60号，财税〔2019〕46号，财政部2020年公告第25号，财政部 税务总局公告2021年第7号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按提供娱乐服务、广告服务的相关单位和个人的计费销售额征收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3%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残疾人就业保障金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缴入地方国库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《残疾人就业条例》，财税〔2015〕72号，财综〔2001〕16号，财税〔2017〕18号，财税〔2018〕39号，2019年公告第98号 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按上年用人单位安排残疾人就业未达到规定比例的差额人数征收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用人单位在职职工平均工资未超过当地社会平均工资2倍（含）的，征收标准为用人单位在职职工年平均工资；超过当地社会平均工资2倍的，征收标准为当地社会平均工资2倍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森林植被恢复费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缴入中央和地方国库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《中华人民共和国森林法》，《中华人民共和国森林法实施条例》，财综〔2002〕73号，财税〔2015〕122号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按用地单位占用林地面积征收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区分不同林地类型、占用林地建设项目性质、所在区域，征收标准不低于3-40元/平方米，具体征收标准按省、自治区、直辖市规定执行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850" w:right="1800" w:bottom="850" w:left="1800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ZGExMWYwM2Y5NDcxY2MwZWQ4OGE3NmQxMWZmMGEifQ=="/>
  </w:docVars>
  <w:rsids>
    <w:rsidRoot w:val="33E85D64"/>
    <w:rsid w:val="07516981"/>
    <w:rsid w:val="0FC3548E"/>
    <w:rsid w:val="152325B4"/>
    <w:rsid w:val="309E607A"/>
    <w:rsid w:val="33CD68E1"/>
    <w:rsid w:val="33E85D64"/>
    <w:rsid w:val="34392020"/>
    <w:rsid w:val="49E94C9F"/>
    <w:rsid w:val="4F53224D"/>
    <w:rsid w:val="55D45B54"/>
    <w:rsid w:val="59286D4A"/>
    <w:rsid w:val="65071870"/>
    <w:rsid w:val="7A8F43AA"/>
    <w:rsid w:val="7E2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 w:firstLineChars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Autospacing="0" w:afterAutospacing="0" w:line="600" w:lineRule="exact"/>
      <w:jc w:val="center"/>
      <w:outlineLvl w:val="0"/>
    </w:pPr>
    <w:rPr>
      <w:rFonts w:ascii="方正小标宋简体" w:hAnsi="方正小标宋简体" w:eastAsia="方正小标宋_GBK" w:cs="宋体"/>
      <w:bCs/>
      <w:kern w:val="36"/>
      <w:sz w:val="40"/>
      <w:szCs w:val="48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jc w:val="center"/>
      <w:outlineLvl w:val="1"/>
    </w:pPr>
    <w:rPr>
      <w:rFonts w:ascii="Arial" w:hAnsi="Arial" w:eastAsia="方正小标宋简体"/>
      <w:kern w:val="0"/>
      <w:sz w:val="44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1275</Words>
  <Characters>1544</Characters>
  <Lines>0</Lines>
  <Paragraphs>0</Paragraphs>
  <TotalTime>9</TotalTime>
  <ScaleCrop>false</ScaleCrop>
  <LinksUpToDate>false</LinksUpToDate>
  <CharactersWithSpaces>1550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2022-09-14T07:03:00Z</dcterms:created>
  <dc:creator>万万没想到。(￣ε￣＠)</dc:creator>
  <cp:lastModifiedBy>万万没想到。(￣ε￣＠)</cp:lastModifiedBy>
  <cp:lastPrinted>2022-09-14T07:28:36Z</cp:lastPrinted>
  <dcterms:modified xsi:type="dcterms:W3CDTF">2022-09-14T07:28:51Z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87624C2E72FB4296B5ABE12225831747</vt:lpwstr>
  </property>
</Properties>
</file>