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C524" w14:textId="31B2D96A" w:rsidR="009103E3" w:rsidRDefault="009103E3">
      <w:pPr>
        <w:ind w:firstLineChars="500" w:firstLine="1600"/>
        <w:jc w:val="center"/>
        <w:rPr>
          <w:rFonts w:ascii="仿宋_GB2312" w:eastAsia="仿宋_GB2312" w:hAnsi="仿宋_GB2312" w:cs="仿宋_GB2312"/>
          <w:szCs w:val="32"/>
        </w:rPr>
      </w:pPr>
    </w:p>
    <w:p w14:paraId="1141A643" w14:textId="77777777" w:rsidR="009103E3" w:rsidRDefault="009103E3">
      <w:pPr>
        <w:jc w:val="center"/>
        <w:rPr>
          <w:rFonts w:ascii="方正小标宋_GBK" w:eastAsia="方正小标宋_GBK" w:hAnsi="方正小标宋_GBK" w:cs="方正小标宋_GBK"/>
          <w:sz w:val="36"/>
          <w:szCs w:val="36"/>
        </w:rPr>
      </w:pPr>
    </w:p>
    <w:p w14:paraId="1E9403F3" w14:textId="77777777" w:rsidR="009103E3" w:rsidRDefault="009103E3">
      <w:pPr>
        <w:jc w:val="center"/>
        <w:rPr>
          <w:rFonts w:ascii="方正小标宋_GBK" w:eastAsia="方正小标宋_GBK" w:hAnsi="方正小标宋_GBK" w:cs="方正小标宋_GBK"/>
          <w:sz w:val="36"/>
          <w:szCs w:val="36"/>
        </w:rPr>
      </w:pPr>
    </w:p>
    <w:p w14:paraId="2F68502E" w14:textId="77777777" w:rsidR="009103E3" w:rsidRDefault="00000000">
      <w:pPr>
        <w:spacing w:line="640" w:lineRule="exact"/>
        <w:jc w:val="center"/>
        <w:outlineLvl w:val="0"/>
        <w:rPr>
          <w:rFonts w:ascii="方正小标宋_GBK" w:eastAsia="方正小标宋_GBK" w:hAnsi="方正小标宋_GBK" w:cs="方正小标宋_GBK"/>
          <w:sz w:val="60"/>
          <w:szCs w:val="60"/>
        </w:rPr>
      </w:pPr>
      <w:bookmarkStart w:id="0" w:name="_Toc10840"/>
      <w:bookmarkStart w:id="1" w:name="_Toc5367"/>
      <w:r>
        <w:rPr>
          <w:rFonts w:ascii="方正小标宋_GBK" w:eastAsia="方正小标宋_GBK" w:hAnsi="方正小标宋_GBK" w:cs="方正小标宋_GBK" w:hint="eastAsia"/>
          <w:sz w:val="60"/>
          <w:szCs w:val="60"/>
        </w:rPr>
        <w:t>湖北省预算绩效评价报告</w:t>
      </w:r>
      <w:bookmarkEnd w:id="0"/>
      <w:bookmarkEnd w:id="1"/>
    </w:p>
    <w:p w14:paraId="4FD8B274" w14:textId="103F295B" w:rsidR="009103E3" w:rsidRDefault="00000000">
      <w:pPr>
        <w:spacing w:line="64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w:t>
      </w:r>
      <w:r w:rsidR="00DD07AF">
        <w:rPr>
          <w:rFonts w:ascii="方正小标宋_GBK" w:eastAsia="方正小标宋_GBK" w:hAnsi="方正小标宋_GBK" w:cs="方正小标宋_GBK" w:hint="eastAsia"/>
          <w:sz w:val="36"/>
          <w:szCs w:val="36"/>
        </w:rPr>
        <w:t>摘要</w:t>
      </w:r>
      <w:r>
        <w:rPr>
          <w:rFonts w:ascii="方正小标宋_GBK" w:eastAsia="方正小标宋_GBK" w:hAnsi="方正小标宋_GBK" w:cs="方正小标宋_GBK" w:hint="eastAsia"/>
          <w:sz w:val="36"/>
          <w:szCs w:val="36"/>
        </w:rPr>
        <w:t>版）</w:t>
      </w:r>
    </w:p>
    <w:p w14:paraId="4742D964" w14:textId="77777777" w:rsidR="009103E3" w:rsidRDefault="009103E3">
      <w:pPr>
        <w:spacing w:line="640" w:lineRule="exact"/>
        <w:jc w:val="center"/>
        <w:rPr>
          <w:rFonts w:ascii="方正小标宋_GBK" w:eastAsia="方正小标宋_GBK" w:hAnsi="方正小标宋_GBK" w:cs="方正小标宋_GBK"/>
          <w:sz w:val="36"/>
          <w:szCs w:val="36"/>
        </w:rPr>
      </w:pPr>
    </w:p>
    <w:p w14:paraId="6A9AB594" w14:textId="77777777" w:rsidR="009103E3" w:rsidRDefault="009103E3">
      <w:pPr>
        <w:spacing w:line="640" w:lineRule="exact"/>
        <w:rPr>
          <w:rFonts w:ascii="方正小标宋_GBK" w:eastAsia="方正小标宋_GBK" w:hAnsi="方正小标宋_GBK" w:cs="方正小标宋_GBK"/>
          <w:sz w:val="36"/>
          <w:szCs w:val="36"/>
        </w:rPr>
      </w:pPr>
    </w:p>
    <w:p w14:paraId="4C34F051" w14:textId="77777777" w:rsidR="009103E3" w:rsidRDefault="009103E3">
      <w:pPr>
        <w:spacing w:line="640" w:lineRule="exact"/>
        <w:rPr>
          <w:rFonts w:ascii="方正小标宋_GBK" w:eastAsia="方正小标宋_GBK" w:hAnsi="方正小标宋_GBK" w:cs="方正小标宋_GBK"/>
          <w:sz w:val="36"/>
          <w:szCs w:val="3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1"/>
        <w:gridCol w:w="5681"/>
      </w:tblGrid>
      <w:tr w:rsidR="009103E3" w14:paraId="7FAD4A17" w14:textId="77777777">
        <w:tc>
          <w:tcPr>
            <w:tcW w:w="2841" w:type="dxa"/>
          </w:tcPr>
          <w:p w14:paraId="25F42F71" w14:textId="77777777" w:rsidR="009103E3" w:rsidRDefault="00000000">
            <w:r>
              <w:rPr>
                <w:rFonts w:ascii="仿宋_GB2312" w:eastAsia="仿宋_GB2312" w:hAnsi="仿宋_GB2312" w:cs="仿宋_GB2312" w:hint="eastAsia"/>
                <w:spacing w:val="160"/>
                <w:kern w:val="0"/>
                <w:szCs w:val="32"/>
                <w:fitText w:val="2880" w:id="791763219"/>
              </w:rPr>
              <w:t>报告名称</w:t>
            </w:r>
            <w:r>
              <w:rPr>
                <w:rFonts w:ascii="仿宋_GB2312" w:eastAsia="仿宋_GB2312" w:hAnsi="仿宋_GB2312" w:cs="仿宋_GB2312" w:hint="eastAsia"/>
                <w:kern w:val="0"/>
                <w:szCs w:val="32"/>
                <w:fitText w:val="2880" w:id="791763219"/>
              </w:rPr>
              <w:t>：</w:t>
            </w:r>
          </w:p>
        </w:tc>
        <w:tc>
          <w:tcPr>
            <w:tcW w:w="5681" w:type="dxa"/>
            <w:tcBorders>
              <w:bottom w:val="single" w:sz="4" w:space="0" w:color="auto"/>
            </w:tcBorders>
          </w:tcPr>
          <w:p w14:paraId="23CCB7A0" w14:textId="77777777" w:rsidR="009103E3" w:rsidRDefault="00000000">
            <w:pPr>
              <w:spacing w:line="640" w:lineRule="exact"/>
              <w:ind w:firstLineChars="100" w:firstLine="320"/>
              <w:jc w:val="left"/>
              <w:rPr>
                <w:rFonts w:ascii="仿宋_GB2312" w:eastAsia="仿宋_GB2312" w:hAnsi="仿宋_GB2312" w:cs="仿宋_GB2312"/>
                <w:szCs w:val="32"/>
              </w:rPr>
            </w:pPr>
            <w:r>
              <w:rPr>
                <w:rFonts w:ascii="仿宋_GB2312" w:eastAsia="仿宋_GB2312" w:hAnsi="仿宋_GB2312" w:cs="仿宋_GB2312" w:hint="eastAsia"/>
                <w:szCs w:val="32"/>
              </w:rPr>
              <w:t>2021年度赤壁市砂子岭公园建设</w:t>
            </w:r>
          </w:p>
        </w:tc>
      </w:tr>
      <w:tr w:rsidR="009103E3" w14:paraId="0D78411E" w14:textId="77777777">
        <w:tc>
          <w:tcPr>
            <w:tcW w:w="2841" w:type="dxa"/>
          </w:tcPr>
          <w:p w14:paraId="360053CF" w14:textId="77777777" w:rsidR="009103E3" w:rsidRDefault="009103E3">
            <w:pPr>
              <w:rPr>
                <w:rFonts w:ascii="仿宋_GB2312" w:eastAsia="仿宋_GB2312" w:hAnsi="仿宋_GB2312" w:cs="仿宋_GB2312"/>
                <w:spacing w:val="2560"/>
                <w:kern w:val="0"/>
                <w:szCs w:val="32"/>
              </w:rPr>
            </w:pPr>
          </w:p>
        </w:tc>
        <w:tc>
          <w:tcPr>
            <w:tcW w:w="5681" w:type="dxa"/>
            <w:tcBorders>
              <w:bottom w:val="single" w:sz="4" w:space="0" w:color="auto"/>
            </w:tcBorders>
          </w:tcPr>
          <w:p w14:paraId="459C04FD" w14:textId="77777777" w:rsidR="009103E3" w:rsidRDefault="00000000">
            <w:pPr>
              <w:spacing w:line="640" w:lineRule="exact"/>
              <w:ind w:firstLineChars="400" w:firstLine="1280"/>
              <w:jc w:val="left"/>
              <w:rPr>
                <w:rFonts w:ascii="仿宋_GB2312" w:eastAsia="仿宋_GB2312" w:hAnsi="仿宋_GB2312" w:cs="仿宋_GB2312"/>
                <w:szCs w:val="32"/>
              </w:rPr>
            </w:pPr>
            <w:r>
              <w:rPr>
                <w:rFonts w:ascii="仿宋_GB2312" w:eastAsia="仿宋_GB2312" w:hAnsi="仿宋_GB2312" w:cs="仿宋_GB2312" w:hint="eastAsia"/>
                <w:szCs w:val="32"/>
              </w:rPr>
              <w:t>项目财政评价</w:t>
            </w:r>
          </w:p>
        </w:tc>
      </w:tr>
      <w:tr w:rsidR="009103E3" w14:paraId="14977BB3" w14:textId="77777777">
        <w:tc>
          <w:tcPr>
            <w:tcW w:w="2841" w:type="dxa"/>
          </w:tcPr>
          <w:p w14:paraId="5966E241" w14:textId="77777777" w:rsidR="009103E3" w:rsidRDefault="00000000">
            <w:r>
              <w:rPr>
                <w:rFonts w:ascii="仿宋_GB2312" w:eastAsia="仿宋_GB2312" w:hAnsi="仿宋_GB2312" w:cs="仿宋_GB2312" w:hint="eastAsia"/>
                <w:kern w:val="0"/>
                <w:szCs w:val="32"/>
                <w:fitText w:val="2880" w:id="658379203"/>
              </w:rPr>
              <w:t>预算部门（单位）：</w:t>
            </w:r>
          </w:p>
        </w:tc>
        <w:tc>
          <w:tcPr>
            <w:tcW w:w="5681" w:type="dxa"/>
            <w:tcBorders>
              <w:top w:val="single" w:sz="4" w:space="0" w:color="auto"/>
              <w:bottom w:val="single" w:sz="4" w:space="0" w:color="auto"/>
            </w:tcBorders>
          </w:tcPr>
          <w:p w14:paraId="5B02C6F5" w14:textId="77777777" w:rsidR="009103E3" w:rsidRDefault="00000000">
            <w:pPr>
              <w:spacing w:line="64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赤壁市住房和城乡建设局</w:t>
            </w:r>
          </w:p>
        </w:tc>
      </w:tr>
      <w:tr w:rsidR="009103E3" w14:paraId="39BE4D4E" w14:textId="77777777">
        <w:tc>
          <w:tcPr>
            <w:tcW w:w="2841" w:type="dxa"/>
          </w:tcPr>
          <w:p w14:paraId="12713B93" w14:textId="77777777" w:rsidR="009103E3" w:rsidRDefault="00000000">
            <w:r>
              <w:rPr>
                <w:rFonts w:ascii="仿宋_GB2312" w:eastAsia="仿宋_GB2312" w:hAnsi="仿宋_GB2312" w:cs="仿宋_GB2312" w:hint="eastAsia"/>
                <w:spacing w:val="160"/>
                <w:kern w:val="0"/>
                <w:szCs w:val="32"/>
                <w:fitText w:val="2880" w:id="478358377"/>
              </w:rPr>
              <w:t>预算年度</w:t>
            </w:r>
            <w:r>
              <w:rPr>
                <w:rFonts w:ascii="仿宋_GB2312" w:eastAsia="仿宋_GB2312" w:hAnsi="仿宋_GB2312" w:cs="仿宋_GB2312" w:hint="eastAsia"/>
                <w:kern w:val="0"/>
                <w:szCs w:val="32"/>
                <w:fitText w:val="2880" w:id="478358377"/>
              </w:rPr>
              <w:t>：</w:t>
            </w:r>
          </w:p>
        </w:tc>
        <w:tc>
          <w:tcPr>
            <w:tcW w:w="5681" w:type="dxa"/>
            <w:tcBorders>
              <w:top w:val="single" w:sz="4" w:space="0" w:color="auto"/>
              <w:bottom w:val="single" w:sz="4" w:space="0" w:color="auto"/>
            </w:tcBorders>
          </w:tcPr>
          <w:p w14:paraId="1D073D10" w14:textId="77777777" w:rsidR="009103E3" w:rsidRDefault="00000000">
            <w:pPr>
              <w:spacing w:line="640" w:lineRule="exact"/>
              <w:ind w:firstLineChars="400" w:firstLine="1280"/>
              <w:jc w:val="left"/>
              <w:rPr>
                <w:rFonts w:ascii="仿宋_GB2312" w:eastAsia="仿宋_GB2312" w:hAnsi="仿宋_GB2312" w:cs="仿宋_GB2312"/>
                <w:szCs w:val="32"/>
              </w:rPr>
            </w:pPr>
            <w:r>
              <w:rPr>
                <w:rFonts w:ascii="仿宋_GB2312" w:eastAsia="仿宋_GB2312" w:hAnsi="仿宋_GB2312" w:cs="仿宋_GB2312" w:hint="eastAsia"/>
                <w:szCs w:val="32"/>
              </w:rPr>
              <w:t>2021年度</w:t>
            </w:r>
          </w:p>
        </w:tc>
      </w:tr>
      <w:tr w:rsidR="009103E3" w14:paraId="1A7E64DB" w14:textId="77777777">
        <w:tc>
          <w:tcPr>
            <w:tcW w:w="2841" w:type="dxa"/>
          </w:tcPr>
          <w:p w14:paraId="54A86F8B" w14:textId="77777777" w:rsidR="009103E3" w:rsidRDefault="00000000">
            <w:r>
              <w:rPr>
                <w:rFonts w:ascii="仿宋_GB2312" w:eastAsia="仿宋_GB2312" w:hAnsi="仿宋_GB2312" w:cs="仿宋_GB2312" w:hint="eastAsia"/>
                <w:spacing w:val="160"/>
                <w:kern w:val="0"/>
                <w:szCs w:val="32"/>
                <w:fitText w:val="2880" w:id="1907961364"/>
              </w:rPr>
              <w:t>评价类型</w:t>
            </w:r>
            <w:r>
              <w:rPr>
                <w:rFonts w:ascii="仿宋_GB2312" w:eastAsia="仿宋_GB2312" w:hAnsi="仿宋_GB2312" w:cs="仿宋_GB2312" w:hint="eastAsia"/>
                <w:kern w:val="0"/>
                <w:szCs w:val="32"/>
                <w:fitText w:val="2880" w:id="1907961364"/>
              </w:rPr>
              <w:t>：</w:t>
            </w:r>
          </w:p>
        </w:tc>
        <w:tc>
          <w:tcPr>
            <w:tcW w:w="5681" w:type="dxa"/>
            <w:tcBorders>
              <w:top w:val="single" w:sz="4" w:space="0" w:color="auto"/>
              <w:bottom w:val="single" w:sz="4" w:space="0" w:color="auto"/>
            </w:tcBorders>
          </w:tcPr>
          <w:p w14:paraId="5CCC08E7" w14:textId="77777777" w:rsidR="009103E3" w:rsidRDefault="00000000">
            <w:pPr>
              <w:spacing w:line="640" w:lineRule="exact"/>
              <w:ind w:firstLineChars="100" w:firstLine="320"/>
              <w:rPr>
                <w:rFonts w:ascii="仿宋_GB2312" w:eastAsia="仿宋_GB2312" w:hAnsi="仿宋_GB2312" w:cs="仿宋_GB2312"/>
                <w:szCs w:val="32"/>
              </w:rPr>
            </w:pPr>
            <w:r>
              <w:rPr>
                <w:rFonts w:ascii="仿宋_GB2312" w:eastAsia="仿宋_GB2312" w:hAnsi="仿宋_GB2312" w:cs="仿宋_GB2312" w:hint="eastAsia"/>
                <w:szCs w:val="32"/>
              </w:rPr>
              <w:t>项目☑   政策□    部门整体□</w:t>
            </w:r>
          </w:p>
        </w:tc>
      </w:tr>
    </w:tbl>
    <w:p w14:paraId="7DEFDE5A" w14:textId="77777777" w:rsidR="009103E3" w:rsidRDefault="00000000">
      <w:pPr>
        <w:spacing w:line="640" w:lineRule="exact"/>
        <w:ind w:firstLineChars="100" w:firstLine="320"/>
        <w:rPr>
          <w:rFonts w:ascii="仿宋_GB2312" w:eastAsia="仿宋_GB2312" w:hAnsi="仿宋_GB2312" w:cs="仿宋_GB2312"/>
          <w:szCs w:val="32"/>
        </w:rPr>
      </w:pPr>
      <w:r>
        <w:rPr>
          <w:rFonts w:ascii="仿宋_GB2312" w:eastAsia="仿宋_GB2312" w:hAnsi="仿宋_GB2312" w:cs="仿宋_GB2312" w:hint="eastAsia"/>
          <w:szCs w:val="32"/>
        </w:rPr>
        <w:t xml:space="preserve"> </w:t>
      </w:r>
    </w:p>
    <w:p w14:paraId="763216C2" w14:textId="77777777" w:rsidR="009103E3" w:rsidRDefault="009103E3">
      <w:pPr>
        <w:spacing w:line="640" w:lineRule="exact"/>
        <w:ind w:firstLineChars="100" w:firstLine="320"/>
        <w:rPr>
          <w:rFonts w:ascii="仿宋_GB2312" w:eastAsia="仿宋_GB2312" w:hAnsi="仿宋_GB2312" w:cs="仿宋_GB2312"/>
          <w:szCs w:val="32"/>
        </w:rPr>
      </w:pPr>
    </w:p>
    <w:tbl>
      <w:tblPr>
        <w:tblStyle w:val="a9"/>
        <w:tblW w:w="0" w:type="auto"/>
        <w:tblLayout w:type="fixed"/>
        <w:tblLook w:val="04A0" w:firstRow="1" w:lastRow="0" w:firstColumn="1" w:lastColumn="0" w:noHBand="0" w:noVBand="1"/>
      </w:tblPr>
      <w:tblGrid>
        <w:gridCol w:w="2841"/>
        <w:gridCol w:w="5681"/>
      </w:tblGrid>
      <w:tr w:rsidR="009103E3" w14:paraId="33FC2315" w14:textId="77777777">
        <w:tc>
          <w:tcPr>
            <w:tcW w:w="2841" w:type="dxa"/>
            <w:tcBorders>
              <w:top w:val="nil"/>
              <w:left w:val="nil"/>
              <w:bottom w:val="nil"/>
              <w:right w:val="nil"/>
            </w:tcBorders>
          </w:tcPr>
          <w:p w14:paraId="7A9FF840" w14:textId="77777777" w:rsidR="009103E3" w:rsidRDefault="00000000">
            <w:r>
              <w:rPr>
                <w:rFonts w:ascii="仿宋_GB2312" w:eastAsia="仿宋_GB2312" w:hAnsi="仿宋_GB2312" w:cs="仿宋_GB2312" w:hint="eastAsia"/>
                <w:spacing w:val="160"/>
                <w:kern w:val="0"/>
                <w:szCs w:val="32"/>
                <w:fitText w:val="2880" w:id="2068842734"/>
              </w:rPr>
              <w:t>评价单位</w:t>
            </w:r>
            <w:r>
              <w:rPr>
                <w:rFonts w:ascii="仿宋_GB2312" w:eastAsia="仿宋_GB2312" w:hAnsi="仿宋_GB2312" w:cs="仿宋_GB2312" w:hint="eastAsia"/>
                <w:kern w:val="0"/>
                <w:szCs w:val="32"/>
                <w:fitText w:val="2880" w:id="2068842734"/>
              </w:rPr>
              <w:t>：</w:t>
            </w:r>
          </w:p>
        </w:tc>
        <w:tc>
          <w:tcPr>
            <w:tcW w:w="5681" w:type="dxa"/>
            <w:tcBorders>
              <w:top w:val="nil"/>
              <w:left w:val="nil"/>
              <w:bottom w:val="single" w:sz="4" w:space="0" w:color="auto"/>
              <w:right w:val="nil"/>
            </w:tcBorders>
          </w:tcPr>
          <w:p w14:paraId="66039F1E" w14:textId="77777777" w:rsidR="009103E3" w:rsidRDefault="00000000">
            <w:pPr>
              <w:spacing w:line="640" w:lineRule="exact"/>
              <w:jc w:val="left"/>
              <w:rPr>
                <w:rFonts w:ascii="仿宋_GB2312" w:eastAsia="仿宋_GB2312" w:hAnsi="仿宋_GB2312" w:cs="仿宋_GB2312"/>
                <w:szCs w:val="32"/>
              </w:rPr>
            </w:pPr>
            <w:r>
              <w:rPr>
                <w:rFonts w:ascii="仿宋_GB2312" w:eastAsia="仿宋_GB2312" w:hAnsi="仿宋_GB2312" w:cs="仿宋_GB2312" w:hint="eastAsia"/>
                <w:szCs w:val="32"/>
              </w:rPr>
              <w:t>武汉市民兴会计师事务所（普通合伙）</w:t>
            </w:r>
          </w:p>
        </w:tc>
      </w:tr>
      <w:tr w:rsidR="009103E3" w14:paraId="4BC3223D" w14:textId="77777777">
        <w:tc>
          <w:tcPr>
            <w:tcW w:w="2841" w:type="dxa"/>
            <w:tcBorders>
              <w:top w:val="nil"/>
              <w:left w:val="nil"/>
              <w:bottom w:val="nil"/>
              <w:right w:val="nil"/>
            </w:tcBorders>
          </w:tcPr>
          <w:p w14:paraId="6ADAA6A8" w14:textId="77777777" w:rsidR="009103E3" w:rsidRDefault="00000000">
            <w:pPr>
              <w:spacing w:line="640" w:lineRule="exact"/>
              <w:rPr>
                <w:rFonts w:ascii="仿宋_GB2312" w:eastAsia="仿宋_GB2312" w:hAnsi="仿宋_GB2312" w:cs="仿宋_GB2312"/>
                <w:szCs w:val="32"/>
              </w:rPr>
            </w:pPr>
            <w:r>
              <w:rPr>
                <w:rFonts w:ascii="仿宋_GB2312" w:eastAsia="仿宋_GB2312" w:hAnsi="仿宋_GB2312" w:cs="仿宋_GB2312" w:hint="eastAsia"/>
                <w:spacing w:val="181"/>
                <w:kern w:val="0"/>
                <w:szCs w:val="32"/>
                <w:fitText w:val="2880" w:id="204284119"/>
              </w:rPr>
              <w:t>主评人1</w:t>
            </w:r>
            <w:r>
              <w:rPr>
                <w:rFonts w:ascii="仿宋_GB2312" w:eastAsia="仿宋_GB2312" w:hAnsi="仿宋_GB2312" w:cs="仿宋_GB2312" w:hint="eastAsia"/>
                <w:spacing w:val="1"/>
                <w:kern w:val="0"/>
                <w:szCs w:val="32"/>
                <w:fitText w:val="2880" w:id="204284119"/>
              </w:rPr>
              <w:t>：</w:t>
            </w:r>
          </w:p>
        </w:tc>
        <w:tc>
          <w:tcPr>
            <w:tcW w:w="5681" w:type="dxa"/>
            <w:tcBorders>
              <w:top w:val="single" w:sz="4" w:space="0" w:color="auto"/>
              <w:left w:val="nil"/>
              <w:bottom w:val="single" w:sz="4" w:space="0" w:color="auto"/>
              <w:right w:val="nil"/>
            </w:tcBorders>
          </w:tcPr>
          <w:p w14:paraId="6138668D" w14:textId="77777777" w:rsidR="009103E3" w:rsidRDefault="00000000">
            <w:pPr>
              <w:spacing w:line="640" w:lineRule="exact"/>
              <w:jc w:val="center"/>
              <w:rPr>
                <w:rFonts w:ascii="仿宋_GB2312" w:eastAsia="仿宋_GB2312" w:hAnsi="仿宋_GB2312" w:cs="仿宋_GB2312"/>
                <w:szCs w:val="32"/>
              </w:rPr>
            </w:pPr>
            <w:r>
              <w:rPr>
                <w:rFonts w:ascii="仿宋_GB2312" w:eastAsia="仿宋_GB2312" w:hAnsi="仿宋_GB2312" w:cs="仿宋_GB2312" w:hint="eastAsia"/>
                <w:szCs w:val="32"/>
              </w:rPr>
              <w:t>干  晶</w:t>
            </w:r>
          </w:p>
        </w:tc>
      </w:tr>
      <w:tr w:rsidR="009103E3" w14:paraId="3C6A2D0B" w14:textId="77777777">
        <w:tc>
          <w:tcPr>
            <w:tcW w:w="2841" w:type="dxa"/>
            <w:tcBorders>
              <w:top w:val="nil"/>
              <w:left w:val="nil"/>
              <w:bottom w:val="nil"/>
              <w:right w:val="nil"/>
            </w:tcBorders>
          </w:tcPr>
          <w:p w14:paraId="18055109" w14:textId="77777777" w:rsidR="009103E3" w:rsidRDefault="00000000">
            <w:r>
              <w:rPr>
                <w:rFonts w:ascii="仿宋_GB2312" w:eastAsia="仿宋_GB2312" w:hAnsi="仿宋_GB2312" w:cs="仿宋_GB2312" w:hint="eastAsia"/>
                <w:spacing w:val="181"/>
                <w:kern w:val="0"/>
                <w:szCs w:val="32"/>
                <w:fitText w:val="2880" w:id="1636892821"/>
              </w:rPr>
              <w:t>主评人2</w:t>
            </w:r>
            <w:r>
              <w:rPr>
                <w:rFonts w:ascii="仿宋_GB2312" w:eastAsia="仿宋_GB2312" w:hAnsi="仿宋_GB2312" w:cs="仿宋_GB2312" w:hint="eastAsia"/>
                <w:spacing w:val="1"/>
                <w:kern w:val="0"/>
                <w:szCs w:val="32"/>
                <w:fitText w:val="2880" w:id="1636892821"/>
              </w:rPr>
              <w:t>：</w:t>
            </w:r>
          </w:p>
        </w:tc>
        <w:tc>
          <w:tcPr>
            <w:tcW w:w="5681" w:type="dxa"/>
            <w:tcBorders>
              <w:top w:val="single" w:sz="4" w:space="0" w:color="auto"/>
              <w:left w:val="nil"/>
              <w:bottom w:val="single" w:sz="4" w:space="0" w:color="auto"/>
              <w:right w:val="nil"/>
            </w:tcBorders>
          </w:tcPr>
          <w:p w14:paraId="1F0275B4" w14:textId="77777777" w:rsidR="009103E3" w:rsidRDefault="00000000">
            <w:pPr>
              <w:spacing w:line="640" w:lineRule="exact"/>
              <w:jc w:val="center"/>
              <w:rPr>
                <w:rFonts w:ascii="仿宋_GB2312" w:eastAsia="仿宋_GB2312" w:hAnsi="仿宋_GB2312" w:cs="仿宋_GB2312"/>
                <w:szCs w:val="32"/>
              </w:rPr>
            </w:pPr>
            <w:r>
              <w:rPr>
                <w:rFonts w:ascii="仿宋_GB2312" w:eastAsia="仿宋_GB2312" w:hAnsi="仿宋_GB2312" w:cs="仿宋_GB2312" w:hint="eastAsia"/>
                <w:szCs w:val="32"/>
              </w:rPr>
              <w:t>胡绍平</w:t>
            </w:r>
          </w:p>
        </w:tc>
      </w:tr>
      <w:tr w:rsidR="009103E3" w14:paraId="09C81EB6" w14:textId="77777777">
        <w:tc>
          <w:tcPr>
            <w:tcW w:w="2841" w:type="dxa"/>
            <w:tcBorders>
              <w:top w:val="nil"/>
              <w:left w:val="nil"/>
              <w:bottom w:val="nil"/>
              <w:right w:val="nil"/>
            </w:tcBorders>
          </w:tcPr>
          <w:p w14:paraId="504ED0BE" w14:textId="77777777" w:rsidR="009103E3" w:rsidRDefault="00000000">
            <w:r>
              <w:rPr>
                <w:rFonts w:ascii="仿宋_GB2312" w:eastAsia="仿宋_GB2312" w:hAnsi="仿宋_GB2312" w:cs="仿宋_GB2312" w:hint="eastAsia"/>
                <w:spacing w:val="53"/>
                <w:kern w:val="0"/>
                <w:szCs w:val="32"/>
                <w:fitText w:val="2880" w:id="1379016020"/>
              </w:rPr>
              <w:t>正式提交日期</w:t>
            </w:r>
            <w:r>
              <w:rPr>
                <w:rFonts w:ascii="仿宋_GB2312" w:eastAsia="仿宋_GB2312" w:hAnsi="仿宋_GB2312" w:cs="仿宋_GB2312" w:hint="eastAsia"/>
                <w:spacing w:val="2"/>
                <w:kern w:val="0"/>
                <w:szCs w:val="32"/>
                <w:fitText w:val="2880" w:id="1379016020"/>
              </w:rPr>
              <w:t>：</w:t>
            </w:r>
          </w:p>
        </w:tc>
        <w:tc>
          <w:tcPr>
            <w:tcW w:w="5681" w:type="dxa"/>
            <w:tcBorders>
              <w:top w:val="single" w:sz="4" w:space="0" w:color="auto"/>
              <w:left w:val="nil"/>
              <w:bottom w:val="single" w:sz="4" w:space="0" w:color="auto"/>
              <w:right w:val="nil"/>
            </w:tcBorders>
          </w:tcPr>
          <w:p w14:paraId="7AAAE961" w14:textId="77777777" w:rsidR="009103E3" w:rsidRDefault="00000000">
            <w:pPr>
              <w:spacing w:line="640" w:lineRule="exact"/>
              <w:ind w:firstLineChars="100" w:firstLine="320"/>
              <w:jc w:val="center"/>
              <w:rPr>
                <w:rFonts w:ascii="仿宋_GB2312" w:eastAsia="仿宋_GB2312" w:hAnsi="仿宋_GB2312" w:cs="仿宋_GB2312"/>
                <w:szCs w:val="32"/>
              </w:rPr>
            </w:pPr>
            <w:r>
              <w:rPr>
                <w:rFonts w:ascii="仿宋_GB2312" w:eastAsia="仿宋_GB2312" w:hAnsi="仿宋_GB2312" w:cs="仿宋_GB2312" w:hint="eastAsia"/>
                <w:szCs w:val="32"/>
              </w:rPr>
              <w:t>2023年3月24日</w:t>
            </w:r>
          </w:p>
        </w:tc>
      </w:tr>
    </w:tbl>
    <w:p w14:paraId="5D4ED1F4" w14:textId="77777777" w:rsidR="009103E3" w:rsidRDefault="009103E3">
      <w:pPr>
        <w:jc w:val="center"/>
        <w:rPr>
          <w:rFonts w:ascii="方正小标宋_GBK" w:eastAsia="方正小标宋_GBK" w:hAnsi="方正小标宋_GBK" w:cs="方正小标宋_GBK"/>
          <w:sz w:val="36"/>
          <w:szCs w:val="36"/>
        </w:rPr>
        <w:sectPr w:rsidR="009103E3">
          <w:pgSz w:w="11906" w:h="16838"/>
          <w:pgMar w:top="2098" w:right="1474" w:bottom="1984" w:left="1588" w:header="851" w:footer="992" w:gutter="0"/>
          <w:cols w:space="0"/>
          <w:docGrid w:type="lines" w:linePitch="579"/>
        </w:sectPr>
      </w:pPr>
    </w:p>
    <w:p w14:paraId="7A8331C4" w14:textId="77777777" w:rsidR="009103E3" w:rsidRDefault="00000000">
      <w:pPr>
        <w:jc w:val="center"/>
      </w:pPr>
      <w:r>
        <w:rPr>
          <w:rFonts w:ascii="方正小标宋_GBK" w:eastAsia="方正小标宋_GBK" w:hAnsi="方正小标宋_GBK" w:cs="方正小标宋_GBK" w:hint="eastAsia"/>
          <w:sz w:val="36"/>
          <w:szCs w:val="36"/>
        </w:rPr>
        <w:lastRenderedPageBreak/>
        <w:t>2021年度赤壁市砂子岭公园建设项目财政评价结果</w:t>
      </w:r>
    </w:p>
    <w:p w14:paraId="1619357A" w14:textId="50DBDB1E" w:rsidR="009103E3" w:rsidRDefault="00000000">
      <w:pPr>
        <w:jc w:val="center"/>
        <w:rPr>
          <w:rFonts w:ascii="楷体" w:eastAsia="楷体" w:hAnsi="楷体" w:cs="楷体"/>
          <w:szCs w:val="32"/>
        </w:rPr>
      </w:pPr>
      <w:r>
        <w:rPr>
          <w:rFonts w:ascii="楷体" w:eastAsia="楷体" w:hAnsi="楷体" w:cs="楷体" w:hint="eastAsia"/>
          <w:szCs w:val="32"/>
        </w:rPr>
        <w:t>（</w:t>
      </w:r>
      <w:r w:rsidR="00DD07AF">
        <w:rPr>
          <w:rFonts w:ascii="楷体" w:eastAsia="楷体" w:hAnsi="楷体" w:cs="楷体" w:hint="eastAsia"/>
          <w:szCs w:val="32"/>
        </w:rPr>
        <w:t>摘要</w:t>
      </w:r>
      <w:r>
        <w:rPr>
          <w:rFonts w:ascii="楷体" w:eastAsia="楷体" w:hAnsi="楷体" w:cs="楷体" w:hint="eastAsia"/>
          <w:szCs w:val="32"/>
        </w:rPr>
        <w:t>版）</w:t>
      </w:r>
    </w:p>
    <w:p w14:paraId="602533CE" w14:textId="77777777" w:rsidR="009103E3" w:rsidRDefault="00000000">
      <w:pPr>
        <w:pStyle w:val="1"/>
      </w:pPr>
      <w:bookmarkStart w:id="2" w:name="_Toc28866"/>
      <w:r>
        <w:rPr>
          <w:rFonts w:hint="eastAsia"/>
        </w:rPr>
        <w:t>一、评价结论</w:t>
      </w:r>
      <w:bookmarkEnd w:id="2"/>
    </w:p>
    <w:p w14:paraId="0E413F4E" w14:textId="77777777" w:rsidR="009103E3" w:rsidRDefault="00000000">
      <w:pPr>
        <w:pStyle w:val="2"/>
      </w:pPr>
      <w:bookmarkStart w:id="3" w:name="_Toc13882"/>
      <w:r>
        <w:rPr>
          <w:rFonts w:hint="eastAsia"/>
        </w:rPr>
        <w:t>（一）绩效评价分数和等级</w:t>
      </w:r>
      <w:bookmarkEnd w:id="3"/>
    </w:p>
    <w:p w14:paraId="7826422A" w14:textId="514B8091" w:rsidR="009103E3" w:rsidRDefault="00000000">
      <w:pPr>
        <w:ind w:firstLineChars="200" w:firstLine="640"/>
      </w:pPr>
      <w:r>
        <w:rPr>
          <w:rFonts w:hint="eastAsia"/>
        </w:rPr>
        <w:t>经过评定，2</w:t>
      </w:r>
      <w:r>
        <w:t>021</w:t>
      </w:r>
      <w:r>
        <w:rPr>
          <w:rFonts w:hint="eastAsia"/>
        </w:rPr>
        <w:t>年赤壁市砂子岭公园建设项目（以下简称“砂子岭公园”）得分</w:t>
      </w:r>
      <w:r w:rsidR="00671576">
        <w:t>81.34</w:t>
      </w:r>
      <w:r>
        <w:rPr>
          <w:rFonts w:hint="eastAsia"/>
        </w:rPr>
        <w:t>分，评价等级为“</w:t>
      </w:r>
      <w:r w:rsidR="00671576">
        <w:rPr>
          <w:rFonts w:hint="eastAsia"/>
        </w:rPr>
        <w:t>良</w:t>
      </w:r>
      <w:r>
        <w:rPr>
          <w:rFonts w:hint="eastAsia"/>
        </w:rPr>
        <w:t>”。</w:t>
      </w:r>
    </w:p>
    <w:p w14:paraId="5A0A530A" w14:textId="38B441C7" w:rsidR="009103E3" w:rsidRDefault="00000000">
      <w:pPr>
        <w:pStyle w:val="2"/>
      </w:pPr>
      <w:bookmarkStart w:id="4" w:name="_Toc9146"/>
      <w:r>
        <w:rPr>
          <w:rFonts w:hint="eastAsia"/>
        </w:rPr>
        <w:t>（二）绩效评价指标情况</w:t>
      </w:r>
      <w:bookmarkEnd w:id="4"/>
    </w:p>
    <w:p w14:paraId="59207FDF" w14:textId="77777777" w:rsidR="009103E3" w:rsidRDefault="00000000">
      <w:pPr>
        <w:ind w:firstLineChars="200" w:firstLine="640"/>
      </w:pPr>
      <w:r>
        <w:rPr>
          <w:rFonts w:hint="eastAsia"/>
        </w:rPr>
        <w:t>1</w:t>
      </w:r>
      <w:r>
        <w:t>.</w:t>
      </w:r>
      <w:r>
        <w:rPr>
          <w:rFonts w:hint="eastAsia"/>
        </w:rPr>
        <w:t>决策。权重</w:t>
      </w:r>
      <w:r>
        <w:t>12</w:t>
      </w:r>
      <w:r>
        <w:rPr>
          <w:rFonts w:hint="eastAsia"/>
        </w:rPr>
        <w:t>分，扣2分，得</w:t>
      </w:r>
      <w:r>
        <w:t>10</w:t>
      </w:r>
      <w:r>
        <w:rPr>
          <w:rFonts w:hint="eastAsia"/>
        </w:rPr>
        <w:t>分。主要扣分点：立项程序规范性扣</w:t>
      </w:r>
      <w:r>
        <w:t>0.5</w:t>
      </w:r>
      <w:r>
        <w:rPr>
          <w:rFonts w:hint="eastAsia"/>
        </w:rPr>
        <w:t>分，绩效目标合理性扣0</w:t>
      </w:r>
      <w:r>
        <w:t>.5</w:t>
      </w:r>
      <w:r>
        <w:rPr>
          <w:rFonts w:hint="eastAsia"/>
        </w:rPr>
        <w:t>分，绩效指标</w:t>
      </w:r>
      <w:proofErr w:type="gramStart"/>
      <w:r>
        <w:rPr>
          <w:rFonts w:hint="eastAsia"/>
        </w:rPr>
        <w:t>明确性扣1分</w:t>
      </w:r>
      <w:proofErr w:type="gramEnd"/>
      <w:r>
        <w:rPr>
          <w:rFonts w:hint="eastAsia"/>
        </w:rPr>
        <w:t>。扣分原因：一是前期论证不充分，设计深度不够，导致后期变更较多；二是由于住建局项目较多，建设任务繁重，人员精力有限，未能按要求申报项目绩效目标及指标。</w:t>
      </w:r>
    </w:p>
    <w:p w14:paraId="4ED674AA" w14:textId="765F96D0" w:rsidR="009103E3" w:rsidRDefault="00000000">
      <w:pPr>
        <w:ind w:firstLineChars="200" w:firstLine="640"/>
      </w:pPr>
      <w:r>
        <w:rPr>
          <w:rFonts w:hint="eastAsia"/>
        </w:rPr>
        <w:t>2</w:t>
      </w:r>
      <w:r>
        <w:t>.</w:t>
      </w:r>
      <w:r>
        <w:rPr>
          <w:rFonts w:hint="eastAsia"/>
        </w:rPr>
        <w:t>过程。权重</w:t>
      </w:r>
      <w:r>
        <w:t>18</w:t>
      </w:r>
      <w:r>
        <w:rPr>
          <w:rFonts w:hint="eastAsia"/>
        </w:rPr>
        <w:t>分，扣</w:t>
      </w:r>
      <w:r>
        <w:t>6</w:t>
      </w:r>
      <w:r>
        <w:rPr>
          <w:rFonts w:hint="eastAsia"/>
        </w:rPr>
        <w:t>.</w:t>
      </w:r>
      <w:r>
        <w:t>16</w:t>
      </w:r>
      <w:r>
        <w:rPr>
          <w:rFonts w:hint="eastAsia"/>
        </w:rPr>
        <w:t>分，得1</w:t>
      </w:r>
      <w:r>
        <w:t>1.84</w:t>
      </w:r>
      <w:r>
        <w:rPr>
          <w:rFonts w:hint="eastAsia"/>
        </w:rPr>
        <w:t>分。主要扣分点：资金到位率扣0</w:t>
      </w:r>
      <w:r>
        <w:t>.66</w:t>
      </w:r>
      <w:r>
        <w:rPr>
          <w:rFonts w:hint="eastAsia"/>
        </w:rPr>
        <w:t>分，制度执行有效性扣</w:t>
      </w:r>
      <w:r>
        <w:t>5.5</w:t>
      </w:r>
      <w:r>
        <w:rPr>
          <w:rFonts w:hint="eastAsia"/>
        </w:rPr>
        <w:t>分。扣分原因：一是工程</w:t>
      </w:r>
      <w:r w:rsidRPr="00DD07AF">
        <w:rPr>
          <w:rFonts w:hint="eastAsia"/>
        </w:rPr>
        <w:t>资金到位率</w:t>
      </w:r>
      <w:r w:rsidRPr="00DD07AF">
        <w:t>67%</w:t>
      </w:r>
      <w:r w:rsidRPr="00DD07AF">
        <w:rPr>
          <w:rFonts w:hint="eastAsia"/>
        </w:rPr>
        <w:t>；二是合同签订不规范，存在多个合同主体</w:t>
      </w:r>
      <w:r w:rsidR="00B5007B" w:rsidRPr="00DD07AF">
        <w:rPr>
          <w:rFonts w:hint="eastAsia"/>
        </w:rPr>
        <w:t>（原来是城投公司出资，住建局代建，2</w:t>
      </w:r>
      <w:r w:rsidR="00B5007B" w:rsidRPr="00DD07AF">
        <w:t>019</w:t>
      </w:r>
      <w:r w:rsidR="00B5007B" w:rsidRPr="00DD07AF">
        <w:rPr>
          <w:rFonts w:hint="eastAsia"/>
        </w:rPr>
        <w:t>年后改由财政局出资，住建局实施，所以前期合同主体是城投公司，后期是住建局）</w:t>
      </w:r>
      <w:r w:rsidRPr="00DD07AF">
        <w:rPr>
          <w:rFonts w:hint="eastAsia"/>
        </w:rPr>
        <w:t>，合同未完全响应招标文件中相关条款；三是部分设计变更超过2</w:t>
      </w:r>
      <w:r w:rsidRPr="00DD07AF">
        <w:t>0%</w:t>
      </w:r>
      <w:r w:rsidRPr="00DD07AF">
        <w:rPr>
          <w:rFonts w:hint="eastAsia"/>
        </w:rPr>
        <w:t>未履行发改、财政审批制度；四是未按规定取得项</w:t>
      </w:r>
      <w:r>
        <w:rPr>
          <w:rFonts w:hint="eastAsia"/>
        </w:rPr>
        <w:t>目选址意见书、规划许可证、施工许可证；五是未按财政资金要求做好预算绩效管理。</w:t>
      </w:r>
    </w:p>
    <w:p w14:paraId="144671C1" w14:textId="01CD1891" w:rsidR="009103E3" w:rsidRDefault="00000000">
      <w:pPr>
        <w:ind w:firstLineChars="200" w:firstLine="640"/>
      </w:pPr>
      <w:r>
        <w:rPr>
          <w:rFonts w:hint="eastAsia"/>
        </w:rPr>
        <w:t>3</w:t>
      </w:r>
      <w:r>
        <w:t>.</w:t>
      </w:r>
      <w:r>
        <w:rPr>
          <w:rFonts w:hint="eastAsia"/>
        </w:rPr>
        <w:t>产出。权重</w:t>
      </w:r>
      <w:r>
        <w:t>40</w:t>
      </w:r>
      <w:r>
        <w:rPr>
          <w:rFonts w:hint="eastAsia"/>
        </w:rPr>
        <w:t>分，扣</w:t>
      </w:r>
      <w:r w:rsidR="006727F4">
        <w:t>4.1</w:t>
      </w:r>
      <w:r>
        <w:rPr>
          <w:rFonts w:hint="eastAsia"/>
        </w:rPr>
        <w:t>分，得</w:t>
      </w:r>
      <w:r>
        <w:t>3</w:t>
      </w:r>
      <w:r w:rsidR="006727F4">
        <w:t>5.9</w:t>
      </w:r>
      <w:r>
        <w:rPr>
          <w:rFonts w:hint="eastAsia"/>
        </w:rPr>
        <w:t>分。主要扣分点：</w:t>
      </w:r>
      <w:r>
        <w:rPr>
          <w:rFonts w:hint="eastAsia"/>
        </w:rPr>
        <w:lastRenderedPageBreak/>
        <w:t>施工规划子项</w:t>
      </w:r>
      <w:proofErr w:type="gramStart"/>
      <w:r>
        <w:rPr>
          <w:rFonts w:hint="eastAsia"/>
        </w:rPr>
        <w:t>落实率扣</w:t>
      </w:r>
      <w:proofErr w:type="gramEnd"/>
      <w:r>
        <w:rPr>
          <w:rFonts w:hint="eastAsia"/>
        </w:rPr>
        <w:t>0</w:t>
      </w:r>
      <w:r>
        <w:t>.6</w:t>
      </w:r>
      <w:r>
        <w:rPr>
          <w:rFonts w:hint="eastAsia"/>
        </w:rPr>
        <w:t>分，质量监督管理</w:t>
      </w:r>
      <w:proofErr w:type="gramStart"/>
      <w:r>
        <w:rPr>
          <w:rFonts w:hint="eastAsia"/>
        </w:rPr>
        <w:t>落实率扣1分</w:t>
      </w:r>
      <w:proofErr w:type="gramEnd"/>
      <w:r>
        <w:rPr>
          <w:rFonts w:hint="eastAsia"/>
        </w:rPr>
        <w:t>，产出时效扣</w:t>
      </w:r>
      <w:r w:rsidR="006727F4">
        <w:t>2</w:t>
      </w:r>
      <w:r>
        <w:rPr>
          <w:rFonts w:hint="eastAsia"/>
        </w:rPr>
        <w:t>分，成本控制扣</w:t>
      </w:r>
      <w:r w:rsidR="006727F4">
        <w:t>0.5</w:t>
      </w:r>
      <w:r>
        <w:rPr>
          <w:rFonts w:hint="eastAsia"/>
        </w:rPr>
        <w:t>分。扣分原因：一是个别子项未完全落实建设；二是监理在实施工作职责时，未能体现实际施工、进度、质量、安全等方面发现的问题及整改情况，建设单位未落实要求；三是工程开工不及时，工期延后；四是工程成本存在超概算概率较大。</w:t>
      </w:r>
    </w:p>
    <w:p w14:paraId="6D86C457" w14:textId="1CC4960B" w:rsidR="009103E3" w:rsidRDefault="00000000">
      <w:pPr>
        <w:ind w:firstLineChars="200" w:firstLine="640"/>
      </w:pPr>
      <w:r>
        <w:rPr>
          <w:rFonts w:hint="eastAsia"/>
        </w:rPr>
        <w:t>4</w:t>
      </w:r>
      <w:r>
        <w:t>.</w:t>
      </w:r>
      <w:r>
        <w:rPr>
          <w:rFonts w:hint="eastAsia"/>
        </w:rPr>
        <w:t>效果。权重</w:t>
      </w:r>
      <w:r>
        <w:t>30</w:t>
      </w:r>
      <w:r>
        <w:rPr>
          <w:rFonts w:hint="eastAsia"/>
        </w:rPr>
        <w:t>分，扣</w:t>
      </w:r>
      <w:r w:rsidR="006727F4">
        <w:t>6.4</w:t>
      </w:r>
      <w:r>
        <w:rPr>
          <w:rFonts w:hint="eastAsia"/>
        </w:rPr>
        <w:t>分，得</w:t>
      </w:r>
      <w:r>
        <w:t>2</w:t>
      </w:r>
      <w:r w:rsidR="006727F4">
        <w:t>3.6</w:t>
      </w:r>
      <w:r>
        <w:rPr>
          <w:rFonts w:hint="eastAsia"/>
        </w:rPr>
        <w:t>分。主要扣分点：促进周边经济发展扣1分，带动园区经济收入扣</w:t>
      </w:r>
      <w:r w:rsidR="006727F4">
        <w:t>1</w:t>
      </w:r>
      <w:r>
        <w:rPr>
          <w:rFonts w:hint="eastAsia"/>
        </w:rPr>
        <w:t>分，提升城市面貌扣</w:t>
      </w:r>
      <w:r>
        <w:t>0.5</w:t>
      </w:r>
      <w:r>
        <w:rPr>
          <w:rFonts w:hint="eastAsia"/>
        </w:rPr>
        <w:t>分，增加了政府公共产品供给扣1分，提升自然环境</w:t>
      </w:r>
      <w:proofErr w:type="gramStart"/>
      <w:r>
        <w:rPr>
          <w:rFonts w:hint="eastAsia"/>
        </w:rPr>
        <w:t>洁净度扣</w:t>
      </w:r>
      <w:proofErr w:type="gramEnd"/>
      <w:r>
        <w:rPr>
          <w:rFonts w:hint="eastAsia"/>
        </w:rPr>
        <w:t>0</w:t>
      </w:r>
      <w:r>
        <w:t>.4</w:t>
      </w:r>
      <w:r>
        <w:rPr>
          <w:rFonts w:hint="eastAsia"/>
        </w:rPr>
        <w:t>分，公园运转保障机制扣</w:t>
      </w:r>
      <w:r w:rsidR="006727F4">
        <w:t>1</w:t>
      </w:r>
      <w:r>
        <w:rPr>
          <w:rFonts w:hint="eastAsia"/>
        </w:rPr>
        <w:t>分，公众</w:t>
      </w:r>
      <w:proofErr w:type="gramStart"/>
      <w:r>
        <w:rPr>
          <w:rFonts w:hint="eastAsia"/>
        </w:rPr>
        <w:t>满意度扣2分</w:t>
      </w:r>
      <w:proofErr w:type="gramEnd"/>
      <w:r>
        <w:rPr>
          <w:rFonts w:hint="eastAsia"/>
        </w:rPr>
        <w:t>。主要扣分原因：一是项目选址较偏远，周边仍在施工，相关配套未能引入；二是前期规划不够深入，如科技馆至目前仍闲置，无新的可行方案利用；三是项目后期运营管理不善，部分景点无人打理。</w:t>
      </w:r>
    </w:p>
    <w:p w14:paraId="66272587" w14:textId="77777777" w:rsidR="009103E3" w:rsidRDefault="00000000">
      <w:pPr>
        <w:pStyle w:val="2"/>
      </w:pPr>
      <w:bookmarkStart w:id="5" w:name="_Toc2093"/>
      <w:r>
        <w:rPr>
          <w:rFonts w:hint="eastAsia"/>
        </w:rPr>
        <w:t>（三）项目成效、存在的问题和原因</w:t>
      </w:r>
      <w:bookmarkEnd w:id="5"/>
    </w:p>
    <w:p w14:paraId="06D7A9DA" w14:textId="77777777" w:rsidR="009103E3" w:rsidRDefault="00000000">
      <w:pPr>
        <w:pStyle w:val="3"/>
      </w:pPr>
      <w:r>
        <w:rPr>
          <w:rFonts w:hint="eastAsia"/>
        </w:rPr>
        <w:t>1.项目成效</w:t>
      </w:r>
    </w:p>
    <w:p w14:paraId="1A9BC2B3" w14:textId="77777777" w:rsidR="009103E3" w:rsidRDefault="00000000">
      <w:pPr>
        <w:ind w:firstLineChars="200" w:firstLine="640"/>
      </w:pPr>
      <w:r>
        <w:rPr>
          <w:rFonts w:hint="eastAsia"/>
        </w:rPr>
        <w:t>一是砂子岭公园项目是赤壁市城市绿色发展三年行动建设项目之一，且为民生项目，集生态、休闲、文化、娱乐、游览、商业、运动健身、人文科普、防灾避险于一体，为打造环境优美、生态休闲的宜居新城添砖加瓦。</w:t>
      </w:r>
    </w:p>
    <w:p w14:paraId="648910D6" w14:textId="77777777" w:rsidR="009103E3" w:rsidRDefault="00000000">
      <w:pPr>
        <w:ind w:firstLineChars="200" w:firstLine="640"/>
      </w:pPr>
      <w:r>
        <w:rPr>
          <w:rFonts w:hint="eastAsia"/>
        </w:rPr>
        <w:t>二是砂子岭公园为赤壁市中心城区三大城市综合公园之一，公园占地面积4</w:t>
      </w:r>
      <w:r>
        <w:t>86</w:t>
      </w:r>
      <w:r>
        <w:rPr>
          <w:rFonts w:hint="eastAsia"/>
        </w:rPr>
        <w:t>亩，绿化面积2</w:t>
      </w:r>
      <w:r>
        <w:t>8</w:t>
      </w:r>
      <w:r>
        <w:rPr>
          <w:rFonts w:hint="eastAsia"/>
        </w:rPr>
        <w:t>万平方米，绿化率达7</w:t>
      </w:r>
      <w:r>
        <w:t>7.1%</w:t>
      </w:r>
      <w:r>
        <w:rPr>
          <w:rFonts w:hint="eastAsia"/>
        </w:rPr>
        <w:t>，</w:t>
      </w:r>
      <w:r>
        <w:rPr>
          <w:rFonts w:hint="eastAsia"/>
        </w:rPr>
        <w:lastRenderedPageBreak/>
        <w:t>是赤壁市两大生态</w:t>
      </w:r>
      <w:proofErr w:type="gramStart"/>
      <w:r>
        <w:rPr>
          <w:rFonts w:hint="eastAsia"/>
        </w:rPr>
        <w:t>绿核之一</w:t>
      </w:r>
      <w:proofErr w:type="gramEnd"/>
      <w:r>
        <w:rPr>
          <w:rFonts w:hint="eastAsia"/>
        </w:rPr>
        <w:t>。丘林景观、运动场地、露天剧场与主题乐园，亭台、石桥、馆舍等建筑错落有致。</w:t>
      </w:r>
    </w:p>
    <w:p w14:paraId="7957CA57" w14:textId="77777777" w:rsidR="009103E3" w:rsidRDefault="00000000">
      <w:pPr>
        <w:ind w:firstLineChars="200" w:firstLine="640"/>
      </w:pPr>
      <w:r>
        <w:rPr>
          <w:rFonts w:hint="eastAsia"/>
        </w:rPr>
        <w:t>三是项目建成后，随着园区大型游乐场所开放，儿童游玩场所增加，有全市市民带小孩游玩；盆景园等景观开放，增加市民赏花游玩热情；茶楼、游乐园等带动园区经济收入；带动周边房产经济上升。</w:t>
      </w:r>
    </w:p>
    <w:p w14:paraId="37FA5B53" w14:textId="77777777" w:rsidR="009103E3" w:rsidRDefault="00000000">
      <w:pPr>
        <w:pStyle w:val="3"/>
      </w:pPr>
      <w:r>
        <w:rPr>
          <w:rFonts w:hint="eastAsia"/>
        </w:rPr>
        <w:t>2.存在的问题</w:t>
      </w:r>
    </w:p>
    <w:p w14:paraId="1A8E5266" w14:textId="77777777" w:rsidR="009103E3" w:rsidRDefault="00000000">
      <w:pPr>
        <w:pStyle w:val="4"/>
      </w:pPr>
      <w:r>
        <w:rPr>
          <w:rFonts w:hint="eastAsia"/>
        </w:rPr>
        <w:t>2.1上年结果应用</w:t>
      </w:r>
    </w:p>
    <w:p w14:paraId="60FBE553" w14:textId="7362E9A8" w:rsidR="009103E3" w:rsidRPr="00DD07AF" w:rsidRDefault="00000000">
      <w:pPr>
        <w:ind w:firstLineChars="200" w:firstLine="640"/>
      </w:pPr>
      <w:r w:rsidRPr="00DD07AF">
        <w:rPr>
          <w:rFonts w:hint="eastAsia"/>
        </w:rPr>
        <w:t>该项目自2</w:t>
      </w:r>
      <w:r w:rsidRPr="00DD07AF">
        <w:t>016</w:t>
      </w:r>
      <w:r w:rsidRPr="00DD07AF">
        <w:rPr>
          <w:rFonts w:hint="eastAsia"/>
        </w:rPr>
        <w:t>年1</w:t>
      </w:r>
      <w:r w:rsidRPr="00DD07AF">
        <w:t>2</w:t>
      </w:r>
      <w:r w:rsidRPr="00DD07AF">
        <w:rPr>
          <w:rFonts w:hint="eastAsia"/>
        </w:rPr>
        <w:t>月开始立项申请，</w:t>
      </w:r>
      <w:r w:rsidR="00D20DD7" w:rsidRPr="00DD07AF">
        <w:rPr>
          <w:rFonts w:hint="eastAsia"/>
        </w:rPr>
        <w:t>2</w:t>
      </w:r>
      <w:r w:rsidR="00D20DD7" w:rsidRPr="00DD07AF">
        <w:t>018</w:t>
      </w:r>
      <w:r w:rsidR="00D20DD7" w:rsidRPr="00DD07AF">
        <w:rPr>
          <w:rFonts w:hint="eastAsia"/>
        </w:rPr>
        <w:t>年底开标确定施工单位，进行征地拆迁，为节约财政资金，场地平整所需土方，均从其它工地运过来，未是、单独购买土石</w:t>
      </w:r>
      <w:r w:rsidRPr="00DD07AF">
        <w:rPr>
          <w:rFonts w:hint="eastAsia"/>
        </w:rPr>
        <w:t>，于2</w:t>
      </w:r>
      <w:r w:rsidRPr="00DD07AF">
        <w:t>019</w:t>
      </w:r>
      <w:r w:rsidRPr="00DD07AF">
        <w:rPr>
          <w:rFonts w:hint="eastAsia"/>
        </w:rPr>
        <w:t>年3月正式开始施工。项目为一次性投资，施工过程中未对项目进行建设中绩效评价及审计检查，主要根据监理驻场对项目质量、进度、成本、安全等方面进行控制，业主方通过不定期查看施工现场。</w:t>
      </w:r>
    </w:p>
    <w:p w14:paraId="3A998BED" w14:textId="77777777" w:rsidR="009103E3" w:rsidRPr="00DD07AF" w:rsidRDefault="00000000">
      <w:pPr>
        <w:pStyle w:val="4"/>
      </w:pPr>
      <w:r w:rsidRPr="00DD07AF">
        <w:rPr>
          <w:rFonts w:hint="eastAsia"/>
        </w:rPr>
        <w:t>2.2存在的问题和原因</w:t>
      </w:r>
    </w:p>
    <w:p w14:paraId="2F99D6B8" w14:textId="1F93A38D" w:rsidR="009103E3" w:rsidRPr="00DD07AF" w:rsidRDefault="00000000">
      <w:pPr>
        <w:ind w:firstLineChars="200" w:firstLine="640"/>
      </w:pPr>
      <w:r w:rsidRPr="00DD07AF">
        <w:rPr>
          <w:rFonts w:hint="eastAsia"/>
        </w:rPr>
        <w:t>一是设计深度不够，后期变更较多</w:t>
      </w:r>
      <w:proofErr w:type="gramStart"/>
      <w:r w:rsidRPr="00DD07AF">
        <w:rPr>
          <w:rFonts w:hint="eastAsia"/>
        </w:rPr>
        <w:t>且程序</w:t>
      </w:r>
      <w:proofErr w:type="gramEnd"/>
      <w:r w:rsidRPr="00DD07AF">
        <w:rPr>
          <w:rFonts w:hint="eastAsia"/>
        </w:rPr>
        <w:t>不到位。根据与总包方增加补充协议及工程量清单，</w:t>
      </w:r>
      <w:r w:rsidR="00FE2865" w:rsidRPr="00DD07AF">
        <w:rPr>
          <w:rFonts w:hint="eastAsia"/>
        </w:rPr>
        <w:t>施工单位编制</w:t>
      </w:r>
      <w:r w:rsidRPr="00DD07AF">
        <w:rPr>
          <w:rFonts w:hint="eastAsia"/>
        </w:rPr>
        <w:t>结算金额已超合同1</w:t>
      </w:r>
      <w:r w:rsidRPr="00DD07AF">
        <w:t>709.03</w:t>
      </w:r>
      <w:r w:rsidRPr="00DD07AF">
        <w:rPr>
          <w:rFonts w:hint="eastAsia"/>
        </w:rPr>
        <w:t>万元，变更率约2</w:t>
      </w:r>
      <w:r w:rsidRPr="00DD07AF">
        <w:t>0</w:t>
      </w:r>
      <w:r w:rsidRPr="00DD07AF">
        <w:rPr>
          <w:rFonts w:hint="eastAsia"/>
        </w:rPr>
        <w:t>%，主要体现在亮化工程、蓝色沥青混凝土、新增6</w:t>
      </w:r>
      <w:r w:rsidRPr="00DD07AF">
        <w:t>m</w:t>
      </w:r>
      <w:r w:rsidRPr="00DD07AF">
        <w:rPr>
          <w:rFonts w:hint="eastAsia"/>
        </w:rPr>
        <w:t>人行道</w:t>
      </w:r>
      <w:r w:rsidR="00FE2865" w:rsidRPr="00DD07AF">
        <w:rPr>
          <w:rFonts w:hint="eastAsia"/>
        </w:rPr>
        <w:t>（公园建设红线外与市政主干道连接，是主干道人行道，因未建设现场为杂草，如不建设公园无法投入使用）</w:t>
      </w:r>
      <w:r w:rsidRPr="00DD07AF">
        <w:rPr>
          <w:rFonts w:hint="eastAsia"/>
        </w:rPr>
        <w:t>及挡土墙等。</w:t>
      </w:r>
      <w:proofErr w:type="gramStart"/>
      <w:r w:rsidRPr="00DD07AF">
        <w:rPr>
          <w:rFonts w:hint="eastAsia"/>
        </w:rPr>
        <w:t>除亮化</w:t>
      </w:r>
      <w:proofErr w:type="gramEnd"/>
      <w:r w:rsidRPr="00DD07AF">
        <w:rPr>
          <w:rFonts w:hint="eastAsia"/>
        </w:rPr>
        <w:t>工程履行变更审批手续及财政投资评审外，其他新增项目预期超概算1</w:t>
      </w:r>
      <w:r w:rsidRPr="00DD07AF">
        <w:t>0</w:t>
      </w:r>
      <w:r w:rsidRPr="00DD07AF">
        <w:rPr>
          <w:rFonts w:hint="eastAsia"/>
        </w:rPr>
        <w:t>%以上，均</w:t>
      </w:r>
      <w:r w:rsidR="00EC2FAE" w:rsidRPr="00DD07AF">
        <w:rPr>
          <w:rFonts w:hint="eastAsia"/>
        </w:rPr>
        <w:t>根据现场情况报分</w:t>
      </w:r>
      <w:r w:rsidR="00EC2FAE" w:rsidRPr="00DD07AF">
        <w:rPr>
          <w:rFonts w:hint="eastAsia"/>
        </w:rPr>
        <w:lastRenderedPageBreak/>
        <w:t>管领导同意后</w:t>
      </w:r>
      <w:r w:rsidRPr="00DD07AF">
        <w:rPr>
          <w:rFonts w:hint="eastAsia"/>
        </w:rPr>
        <w:t>由项目法人批复，未履行上报程序及财政投资评审。原因：前期调研不充分，园林设计深度不够，未达到实际需求；其他变更建设紧迫，</w:t>
      </w:r>
      <w:r w:rsidR="00EC2FAE" w:rsidRPr="00DD07AF">
        <w:rPr>
          <w:rFonts w:hint="eastAsia"/>
        </w:rPr>
        <w:t>市领导现场察看确认</w:t>
      </w:r>
      <w:r w:rsidRPr="00DD07AF">
        <w:rPr>
          <w:rFonts w:hint="eastAsia"/>
        </w:rPr>
        <w:t>，故仅履行法人批复程序。</w:t>
      </w:r>
    </w:p>
    <w:p w14:paraId="3BCF1F98" w14:textId="1E88FCBD" w:rsidR="009103E3" w:rsidRDefault="00000000">
      <w:pPr>
        <w:ind w:firstLineChars="200" w:firstLine="640"/>
      </w:pPr>
      <w:r w:rsidRPr="00DD07AF">
        <w:rPr>
          <w:rFonts w:hint="eastAsia"/>
        </w:rPr>
        <w:t>二是部分项目管理不规范。1）前期手续不完善。截至评价日，项目已完成施工并投入使用，但</w:t>
      </w:r>
      <w:r w:rsidRPr="00DD07AF">
        <w:t>未取得选址意见书、规划许可证、施工许可证</w:t>
      </w:r>
      <w:r w:rsidRPr="00DD07AF">
        <w:rPr>
          <w:rFonts w:hint="eastAsia"/>
        </w:rPr>
        <w:t>；2）</w:t>
      </w:r>
      <w:r w:rsidR="00385A2D" w:rsidRPr="00DD07AF">
        <w:rPr>
          <w:rFonts w:hint="eastAsia"/>
        </w:rPr>
        <w:t>签订合同内容未完全响应招标文件条</w:t>
      </w:r>
      <w:r w:rsidRPr="00DD07AF">
        <w:rPr>
          <w:rFonts w:hint="eastAsia"/>
        </w:rPr>
        <w:t>。</w:t>
      </w:r>
      <w:r w:rsidRPr="00DD07AF">
        <w:t>招标文件中合同条款</w:t>
      </w:r>
      <w:r w:rsidRPr="00DD07AF">
        <w:rPr>
          <w:rFonts w:hint="eastAsia"/>
        </w:rPr>
        <w:t>明确对变更的</w:t>
      </w:r>
      <w:r w:rsidRPr="00DD07AF">
        <w:t>措施费</w:t>
      </w:r>
      <w:r w:rsidRPr="00DD07AF">
        <w:rPr>
          <w:rFonts w:hint="eastAsia"/>
        </w:rPr>
        <w:t>不予考虑，但在总包合同未响应</w:t>
      </w:r>
      <w:r w:rsidR="00385A2D" w:rsidRPr="00DD07AF">
        <w:rPr>
          <w:rFonts w:hint="eastAsia"/>
        </w:rPr>
        <w:t>该条款</w:t>
      </w:r>
      <w:r w:rsidRPr="00DD07AF">
        <w:rPr>
          <w:rFonts w:hint="eastAsia"/>
        </w:rPr>
        <w:t>；3）部分管理不严谨。对外合同主体存在两方，未按代建合同要求三方签订；</w:t>
      </w:r>
      <w:r w:rsidRPr="00DD07AF">
        <w:t>设计合同签订日期超过</w:t>
      </w:r>
      <w:r>
        <w:t>中标通知书发出30日</w:t>
      </w:r>
      <w:r>
        <w:rPr>
          <w:rFonts w:hint="eastAsia"/>
        </w:rPr>
        <w:t>；未按要求组织绩效自评、设置绩效目标及指标；未在规定时间组织结算、决算。原因：1）前期已取得市国土局关于砂子岭公园建设项目用地初审意见及市城乡规划局关于砂子岭公园建设项目规划审查意见，但是后期无专人跟进办理相关证件；由于施工图</w:t>
      </w:r>
      <w:proofErr w:type="gramStart"/>
      <w:r>
        <w:rPr>
          <w:rFonts w:hint="eastAsia"/>
        </w:rPr>
        <w:t>图审未通过</w:t>
      </w:r>
      <w:proofErr w:type="gramEnd"/>
      <w:r>
        <w:rPr>
          <w:rFonts w:hint="eastAsia"/>
        </w:rPr>
        <w:t>，一直未能办理施工许可证；2）合同执行方面，合同主体意识不强，合同条款审核不严；3）由于住建局项目多，建设任务重，财务及项目人员精力有限，无法针对每个项目均按预算要求设置绩效目标、指标及自评；项目工期长，变更多，未完</w:t>
      </w:r>
      <w:proofErr w:type="gramStart"/>
      <w:r>
        <w:rPr>
          <w:rFonts w:hint="eastAsia"/>
        </w:rPr>
        <w:t>成工程</w:t>
      </w:r>
      <w:proofErr w:type="gramEnd"/>
      <w:r>
        <w:rPr>
          <w:rFonts w:hint="eastAsia"/>
        </w:rPr>
        <w:t>成本结算。</w:t>
      </w:r>
    </w:p>
    <w:p w14:paraId="13FBE064" w14:textId="2742DDB2" w:rsidR="009103E3" w:rsidRDefault="00000000">
      <w:pPr>
        <w:ind w:firstLineChars="200" w:firstLine="640"/>
      </w:pPr>
      <w:r w:rsidRPr="00DD07AF">
        <w:rPr>
          <w:rFonts w:hint="eastAsia"/>
        </w:rPr>
        <w:t>三是工期进度缓慢，工程结算存在争议。项目启动时间较晚。根据可</w:t>
      </w:r>
      <w:proofErr w:type="gramStart"/>
      <w:r w:rsidRPr="00DD07AF">
        <w:rPr>
          <w:rFonts w:hint="eastAsia"/>
        </w:rPr>
        <w:t>研</w:t>
      </w:r>
      <w:proofErr w:type="gramEnd"/>
      <w:r w:rsidRPr="00DD07AF">
        <w:rPr>
          <w:rFonts w:hint="eastAsia"/>
        </w:rPr>
        <w:t>于2</w:t>
      </w:r>
      <w:r w:rsidRPr="00DD07AF">
        <w:t>016</w:t>
      </w:r>
      <w:r w:rsidRPr="00DD07AF">
        <w:rPr>
          <w:rFonts w:hint="eastAsia"/>
        </w:rPr>
        <w:t>年1</w:t>
      </w:r>
      <w:r w:rsidRPr="00DD07AF">
        <w:t>2</w:t>
      </w:r>
      <w:r w:rsidRPr="00DD07AF">
        <w:rPr>
          <w:rFonts w:hint="eastAsia"/>
        </w:rPr>
        <w:t>月批复，工期预期1年，</w:t>
      </w:r>
      <w:r w:rsidR="00385A2D" w:rsidRPr="00DD07AF">
        <w:rPr>
          <w:rFonts w:hint="eastAsia"/>
        </w:rPr>
        <w:t>实际开工时间为2</w:t>
      </w:r>
      <w:r w:rsidR="00385A2D" w:rsidRPr="00DD07AF">
        <w:t>019</w:t>
      </w:r>
      <w:r w:rsidR="00385A2D" w:rsidRPr="00DD07AF">
        <w:rPr>
          <w:rFonts w:hint="eastAsia"/>
        </w:rPr>
        <w:t>年3月，2</w:t>
      </w:r>
      <w:r w:rsidR="00385A2D" w:rsidRPr="00DD07AF">
        <w:t>02</w:t>
      </w:r>
      <w:r w:rsidR="00095CEE" w:rsidRPr="00DD07AF">
        <w:t>0</w:t>
      </w:r>
      <w:r w:rsidR="00385A2D" w:rsidRPr="00DD07AF">
        <w:rPr>
          <w:rFonts w:hint="eastAsia"/>
        </w:rPr>
        <w:t>年1</w:t>
      </w:r>
      <w:r w:rsidR="00095CEE" w:rsidRPr="00DD07AF">
        <w:t>2</w:t>
      </w:r>
      <w:r w:rsidR="00385A2D" w:rsidRPr="00DD07AF">
        <w:rPr>
          <w:rFonts w:hint="eastAsia"/>
        </w:rPr>
        <w:t>月正式开园</w:t>
      </w:r>
      <w:r w:rsidRPr="00DD07AF">
        <w:rPr>
          <w:rFonts w:hint="eastAsia"/>
        </w:rPr>
        <w:t>，工期超期；由于工期</w:t>
      </w:r>
      <w:r>
        <w:rPr>
          <w:rFonts w:hint="eastAsia"/>
        </w:rPr>
        <w:t>延</w:t>
      </w:r>
      <w:r>
        <w:rPr>
          <w:rFonts w:hint="eastAsia"/>
        </w:rPr>
        <w:lastRenderedPageBreak/>
        <w:t>长，原材料价格变动较大，原总包方与建设</w:t>
      </w:r>
      <w:proofErr w:type="gramStart"/>
      <w:r>
        <w:rPr>
          <w:rFonts w:hint="eastAsia"/>
        </w:rPr>
        <w:t>方合同</w:t>
      </w:r>
      <w:proofErr w:type="gramEnd"/>
      <w:r>
        <w:rPr>
          <w:rFonts w:hint="eastAsia"/>
        </w:rPr>
        <w:t>中明确的固定单价存在争议，已起诉仍未商定具体解决方案。原因：1）前期土地平整、征拆、初步设计编制等占用时间较多，导致工程于2</w:t>
      </w:r>
      <w:r>
        <w:t>019</w:t>
      </w:r>
      <w:r>
        <w:rPr>
          <w:rFonts w:hint="eastAsia"/>
        </w:rPr>
        <w:t>年3月才正式开始实施；2）设计变更较多，且因疫情影响，后期材料价格变化较大，导致相关材料成本增加。</w:t>
      </w:r>
    </w:p>
    <w:p w14:paraId="40DC0B75" w14:textId="022333A4" w:rsidR="009103E3" w:rsidRDefault="00000000">
      <w:pPr>
        <w:ind w:firstLineChars="200" w:firstLine="640"/>
      </w:pPr>
      <w:r>
        <w:rPr>
          <w:rFonts w:hint="eastAsia"/>
        </w:rPr>
        <w:t>四是后期运营效益不及预期。经过现场查看，目前园内科技馆、驿站等均闲置，河流干涸荒废，由于人流量不大，提供的公共产品效益不</w:t>
      </w:r>
      <w:r w:rsidRPr="00F50ED1">
        <w:rPr>
          <w:rFonts w:hint="eastAsia"/>
        </w:rPr>
        <w:t>明显。原因：由于规划为新城区，周边居民居住点尚未形成。</w:t>
      </w:r>
    </w:p>
    <w:p w14:paraId="54B06B02" w14:textId="77777777" w:rsidR="009103E3" w:rsidRDefault="00000000">
      <w:pPr>
        <w:pStyle w:val="2"/>
      </w:pPr>
      <w:bookmarkStart w:id="6" w:name="_Toc24557"/>
      <w:r>
        <w:rPr>
          <w:rFonts w:hint="eastAsia"/>
        </w:rPr>
        <w:t>（四）下一步拟改进措施</w:t>
      </w:r>
      <w:bookmarkEnd w:id="6"/>
    </w:p>
    <w:p w14:paraId="0F060DF6" w14:textId="77777777" w:rsidR="009103E3" w:rsidRDefault="00000000">
      <w:pPr>
        <w:ind w:firstLineChars="200" w:firstLine="640"/>
      </w:pPr>
      <w:r>
        <w:rPr>
          <w:rFonts w:hint="eastAsia"/>
        </w:rPr>
        <w:t>一是加强前期调研，做好方案设计。前期调研结合项目选址、建设目标等因素，根据需求，合理做好设计方案，使方案实际可行。按照建设工程相关规定，落实流程。对于变更超过1</w:t>
      </w:r>
      <w:r>
        <w:t>0</w:t>
      </w:r>
      <w:r>
        <w:rPr>
          <w:rFonts w:hint="eastAsia"/>
        </w:rPr>
        <w:t>%部分，严格按照要求，报经相关部门批准。</w:t>
      </w:r>
    </w:p>
    <w:p w14:paraId="76524EDC" w14:textId="77777777" w:rsidR="009103E3" w:rsidRDefault="00000000">
      <w:pPr>
        <w:ind w:firstLineChars="200" w:firstLine="640"/>
      </w:pPr>
      <w:r>
        <w:rPr>
          <w:rFonts w:hint="eastAsia"/>
        </w:rPr>
        <w:t>二是规范项目建设管理。严格按规定落实前期建设手续，及时</w:t>
      </w:r>
      <w:r>
        <w:t>取得选址意见书、规划许可证、施工许可证</w:t>
      </w:r>
      <w:r>
        <w:rPr>
          <w:rFonts w:hint="eastAsia"/>
        </w:rPr>
        <w:t>；按照规定做好前期合同签订等事前工作，重视招标文件要求条款，严格落实到书面合同；年中对项目进展情况进行绩效监控，了解目标完成情况，发现偏离及时采取措施纠偏，落实项目绩效自评，做好事后评估工作。</w:t>
      </w:r>
    </w:p>
    <w:p w14:paraId="4EA84C7A" w14:textId="77777777" w:rsidR="009103E3" w:rsidRDefault="00000000">
      <w:pPr>
        <w:ind w:firstLineChars="200" w:firstLine="640"/>
      </w:pPr>
      <w:r>
        <w:rPr>
          <w:rFonts w:hint="eastAsia"/>
        </w:rPr>
        <w:t>三是注重项目全过程监管。注重按照批复的建设期，及时启动项目建设，及时根据要求完成初步设计编制及批复工作；施工</w:t>
      </w:r>
      <w:r>
        <w:rPr>
          <w:rFonts w:hint="eastAsia"/>
        </w:rPr>
        <w:lastRenderedPageBreak/>
        <w:t>过程中，加强对施工单位监督检查，了解施工进度情况，督促节点目标完成，若存在延迟，尽快纠偏，落实工期；需要招投标的项目，尽快启动招投标程序。</w:t>
      </w:r>
    </w:p>
    <w:p w14:paraId="298AB638" w14:textId="1021E308" w:rsidR="009103E3" w:rsidRDefault="00000000">
      <w:pPr>
        <w:ind w:firstLineChars="200" w:firstLine="640"/>
      </w:pPr>
      <w:r>
        <w:rPr>
          <w:rFonts w:hint="eastAsia"/>
        </w:rPr>
        <w:t>四是注重项目使用效益。积极寻求途径，加大宣传力度，与多方接洽，加快闲</w:t>
      </w:r>
      <w:r w:rsidRPr="00DD07AF">
        <w:rPr>
          <w:rFonts w:hint="eastAsia"/>
        </w:rPr>
        <w:t>置资产利用率；</w:t>
      </w:r>
      <w:r w:rsidR="00F50ED1" w:rsidRPr="00DD07AF">
        <w:rPr>
          <w:rFonts w:hint="eastAsia"/>
        </w:rPr>
        <w:t>加强运营维护团队的管理，</w:t>
      </w:r>
      <w:r w:rsidRPr="00DD07AF">
        <w:rPr>
          <w:rFonts w:hint="eastAsia"/>
        </w:rPr>
        <w:t>落</w:t>
      </w:r>
      <w:r>
        <w:rPr>
          <w:rFonts w:hint="eastAsia"/>
        </w:rPr>
        <w:t>实考核制度，对园区景点维护及卫生等纳入考核，确保公共产品达到应有的使用效果。</w:t>
      </w:r>
    </w:p>
    <w:p w14:paraId="3D686B8A" w14:textId="77777777" w:rsidR="00DD07AF" w:rsidRDefault="00DD07AF">
      <w:pPr>
        <w:ind w:firstLineChars="200" w:firstLine="640"/>
      </w:pPr>
    </w:p>
    <w:p w14:paraId="13345255" w14:textId="77777777" w:rsidR="00DD07AF" w:rsidRDefault="00DD07AF">
      <w:pPr>
        <w:ind w:firstLineChars="200" w:firstLine="640"/>
        <w:rPr>
          <w:rFonts w:hint="eastAsia"/>
        </w:rPr>
      </w:pPr>
    </w:p>
    <w:p w14:paraId="614145D9" w14:textId="5947333C" w:rsidR="009103E3" w:rsidRDefault="00000000">
      <w:pPr>
        <w:ind w:firstLineChars="200" w:firstLine="640"/>
      </w:pPr>
      <w:r>
        <w:rPr>
          <w:rFonts w:hint="eastAsia"/>
        </w:rPr>
        <w:t>附件：赤壁市砂子岭公园项目绩效评价评分表</w:t>
      </w:r>
    </w:p>
    <w:p w14:paraId="23EEDD51" w14:textId="77777777" w:rsidR="009103E3" w:rsidRDefault="009103E3">
      <w:pPr>
        <w:rPr>
          <w:b/>
          <w:bCs/>
        </w:rPr>
      </w:pPr>
    </w:p>
    <w:p w14:paraId="1DAD20A7" w14:textId="77777777" w:rsidR="009103E3" w:rsidRDefault="009103E3"/>
    <w:p w14:paraId="15CA714D" w14:textId="77777777" w:rsidR="009103E3" w:rsidRDefault="009103E3"/>
    <w:tbl>
      <w:tblPr>
        <w:tblW w:w="8685" w:type="dxa"/>
        <w:tblInd w:w="283" w:type="dxa"/>
        <w:tblLayout w:type="fixed"/>
        <w:tblLook w:val="04A0" w:firstRow="1" w:lastRow="0" w:firstColumn="1" w:lastColumn="0" w:noHBand="0" w:noVBand="1"/>
      </w:tblPr>
      <w:tblGrid>
        <w:gridCol w:w="4363"/>
        <w:gridCol w:w="240"/>
        <w:gridCol w:w="4082"/>
      </w:tblGrid>
      <w:tr w:rsidR="009103E3" w14:paraId="2410BF00" w14:textId="77777777">
        <w:trPr>
          <w:trHeight w:val="555"/>
        </w:trPr>
        <w:tc>
          <w:tcPr>
            <w:tcW w:w="4363" w:type="dxa"/>
            <w:vAlign w:val="center"/>
          </w:tcPr>
          <w:p w14:paraId="12694728" w14:textId="77777777" w:rsidR="009103E3" w:rsidRDefault="00000000">
            <w:pPr>
              <w:jc w:val="center"/>
              <w:rPr>
                <w:rFonts w:ascii="仿宋_GB2312" w:eastAsia="仿宋_GB2312" w:hAnsi="仿宋_GB2312" w:cs="仿宋_GB2312"/>
                <w:szCs w:val="32"/>
              </w:rPr>
            </w:pPr>
            <w:r>
              <w:rPr>
                <w:rFonts w:ascii="仿宋_GB2312" w:eastAsia="仿宋_GB2312" w:hAnsi="仿宋_GB2312" w:cs="仿宋_GB2312" w:hint="eastAsia"/>
                <w:szCs w:val="32"/>
              </w:rPr>
              <w:t>武汉市民兴会计师事务所</w:t>
            </w:r>
          </w:p>
        </w:tc>
        <w:tc>
          <w:tcPr>
            <w:tcW w:w="240" w:type="dxa"/>
          </w:tcPr>
          <w:p w14:paraId="6BDB7523" w14:textId="77777777" w:rsidR="009103E3" w:rsidRDefault="009103E3">
            <w:pPr>
              <w:jc w:val="center"/>
              <w:rPr>
                <w:rFonts w:ascii="仿宋_GB2312" w:eastAsia="仿宋_GB2312" w:hAnsi="仿宋_GB2312" w:cs="仿宋_GB2312"/>
                <w:szCs w:val="32"/>
              </w:rPr>
            </w:pPr>
          </w:p>
        </w:tc>
        <w:tc>
          <w:tcPr>
            <w:tcW w:w="4082" w:type="dxa"/>
          </w:tcPr>
          <w:p w14:paraId="5D29B4FA" w14:textId="77777777" w:rsidR="009103E3" w:rsidRDefault="00000000">
            <w:pPr>
              <w:jc w:val="center"/>
              <w:rPr>
                <w:rFonts w:ascii="仿宋_GB2312" w:eastAsia="仿宋_GB2312" w:hAnsi="仿宋_GB2312" w:cs="仿宋_GB2312"/>
                <w:szCs w:val="32"/>
              </w:rPr>
            </w:pPr>
            <w:r>
              <w:rPr>
                <w:rFonts w:ascii="仿宋_GB2312" w:eastAsia="仿宋_GB2312" w:hAnsi="仿宋_GB2312" w:cs="仿宋_GB2312" w:hint="eastAsia"/>
                <w:szCs w:val="32"/>
              </w:rPr>
              <w:t xml:space="preserve"> 主评人：干  晶</w:t>
            </w:r>
          </w:p>
        </w:tc>
      </w:tr>
      <w:tr w:rsidR="009103E3" w14:paraId="1EFBE498" w14:textId="77777777">
        <w:trPr>
          <w:trHeight w:val="798"/>
        </w:trPr>
        <w:tc>
          <w:tcPr>
            <w:tcW w:w="4363" w:type="dxa"/>
            <w:vAlign w:val="center"/>
          </w:tcPr>
          <w:p w14:paraId="317C3738" w14:textId="77777777" w:rsidR="009103E3" w:rsidRDefault="00000000">
            <w:pPr>
              <w:jc w:val="center"/>
              <w:rPr>
                <w:rFonts w:ascii="仿宋_GB2312" w:eastAsia="仿宋_GB2312" w:hAnsi="仿宋_GB2312" w:cs="仿宋_GB2312"/>
                <w:szCs w:val="32"/>
              </w:rPr>
            </w:pPr>
            <w:r>
              <w:rPr>
                <w:rFonts w:ascii="仿宋_GB2312" w:eastAsia="仿宋_GB2312" w:hAnsi="仿宋_GB2312" w:cs="仿宋_GB2312" w:hint="eastAsia"/>
                <w:szCs w:val="32"/>
              </w:rPr>
              <w:t>（普通合伙）</w:t>
            </w:r>
          </w:p>
        </w:tc>
        <w:tc>
          <w:tcPr>
            <w:tcW w:w="240" w:type="dxa"/>
          </w:tcPr>
          <w:p w14:paraId="055F3F7B" w14:textId="77777777" w:rsidR="009103E3" w:rsidRDefault="009103E3">
            <w:pPr>
              <w:jc w:val="center"/>
              <w:rPr>
                <w:rFonts w:ascii="仿宋_GB2312" w:eastAsia="仿宋_GB2312" w:hAnsi="仿宋_GB2312" w:cs="仿宋_GB2312"/>
                <w:szCs w:val="32"/>
              </w:rPr>
            </w:pPr>
          </w:p>
        </w:tc>
        <w:tc>
          <w:tcPr>
            <w:tcW w:w="4082" w:type="dxa"/>
          </w:tcPr>
          <w:p w14:paraId="321306E2" w14:textId="77777777" w:rsidR="009103E3" w:rsidRDefault="009103E3">
            <w:pPr>
              <w:jc w:val="center"/>
              <w:rPr>
                <w:rFonts w:ascii="仿宋_GB2312" w:eastAsia="仿宋_GB2312" w:hAnsi="仿宋_GB2312" w:cs="仿宋_GB2312"/>
                <w:szCs w:val="32"/>
              </w:rPr>
            </w:pPr>
          </w:p>
        </w:tc>
      </w:tr>
      <w:tr w:rsidR="009103E3" w14:paraId="1CCFDAD0" w14:textId="77777777">
        <w:trPr>
          <w:trHeight w:val="570"/>
        </w:trPr>
        <w:tc>
          <w:tcPr>
            <w:tcW w:w="4363" w:type="dxa"/>
            <w:vAlign w:val="center"/>
          </w:tcPr>
          <w:p w14:paraId="407D628D" w14:textId="77777777" w:rsidR="009103E3" w:rsidRDefault="00000000">
            <w:pPr>
              <w:jc w:val="center"/>
              <w:rPr>
                <w:rFonts w:ascii="仿宋_GB2312" w:eastAsia="仿宋_GB2312" w:hAnsi="仿宋_GB2312" w:cs="仿宋_GB2312"/>
                <w:szCs w:val="32"/>
              </w:rPr>
            </w:pPr>
            <w:r>
              <w:rPr>
                <w:rFonts w:ascii="仿宋_GB2312" w:eastAsia="仿宋_GB2312" w:hAnsi="仿宋_GB2312" w:cs="仿宋_GB2312" w:hint="eastAsia"/>
                <w:szCs w:val="32"/>
              </w:rPr>
              <w:t>中国 · 武汉</w:t>
            </w:r>
          </w:p>
        </w:tc>
        <w:tc>
          <w:tcPr>
            <w:tcW w:w="240" w:type="dxa"/>
          </w:tcPr>
          <w:p w14:paraId="253A9211" w14:textId="77777777" w:rsidR="009103E3" w:rsidRDefault="009103E3">
            <w:pPr>
              <w:jc w:val="center"/>
              <w:rPr>
                <w:rFonts w:ascii="仿宋_GB2312" w:eastAsia="仿宋_GB2312" w:hAnsi="仿宋_GB2312" w:cs="仿宋_GB2312"/>
                <w:szCs w:val="32"/>
              </w:rPr>
            </w:pPr>
          </w:p>
        </w:tc>
        <w:tc>
          <w:tcPr>
            <w:tcW w:w="4082" w:type="dxa"/>
          </w:tcPr>
          <w:p w14:paraId="53025DA8" w14:textId="77777777" w:rsidR="009103E3" w:rsidRDefault="00000000">
            <w:pPr>
              <w:jc w:val="center"/>
              <w:rPr>
                <w:rFonts w:ascii="仿宋_GB2312" w:eastAsia="仿宋_GB2312" w:hAnsi="仿宋_GB2312" w:cs="仿宋_GB2312"/>
                <w:szCs w:val="32"/>
              </w:rPr>
            </w:pPr>
            <w:r>
              <w:rPr>
                <w:rFonts w:ascii="仿宋_GB2312" w:eastAsia="仿宋_GB2312" w:hAnsi="仿宋_GB2312" w:cs="仿宋_GB2312" w:hint="eastAsia"/>
                <w:szCs w:val="32"/>
              </w:rPr>
              <w:t xml:space="preserve"> 主评人：胡绍平</w:t>
            </w:r>
          </w:p>
        </w:tc>
      </w:tr>
      <w:tr w:rsidR="009103E3" w14:paraId="5DBD7080" w14:textId="77777777">
        <w:trPr>
          <w:trHeight w:val="570"/>
        </w:trPr>
        <w:tc>
          <w:tcPr>
            <w:tcW w:w="4363" w:type="dxa"/>
            <w:vAlign w:val="center"/>
          </w:tcPr>
          <w:p w14:paraId="6D0A1CCD" w14:textId="77777777" w:rsidR="009103E3" w:rsidRDefault="009103E3">
            <w:pPr>
              <w:jc w:val="center"/>
              <w:rPr>
                <w:rFonts w:ascii="仿宋_GB2312" w:eastAsia="仿宋_GB2312" w:hAnsi="仿宋_GB2312" w:cs="仿宋_GB2312"/>
                <w:szCs w:val="32"/>
              </w:rPr>
            </w:pPr>
          </w:p>
        </w:tc>
        <w:tc>
          <w:tcPr>
            <w:tcW w:w="240" w:type="dxa"/>
          </w:tcPr>
          <w:p w14:paraId="37FFCA00" w14:textId="77777777" w:rsidR="009103E3" w:rsidRDefault="009103E3">
            <w:pPr>
              <w:jc w:val="center"/>
              <w:rPr>
                <w:rFonts w:ascii="仿宋_GB2312" w:eastAsia="仿宋_GB2312" w:hAnsi="仿宋_GB2312" w:cs="仿宋_GB2312"/>
                <w:szCs w:val="32"/>
              </w:rPr>
            </w:pPr>
          </w:p>
        </w:tc>
        <w:tc>
          <w:tcPr>
            <w:tcW w:w="4082" w:type="dxa"/>
          </w:tcPr>
          <w:p w14:paraId="6AF540A2" w14:textId="77777777" w:rsidR="009103E3" w:rsidRDefault="009103E3">
            <w:pPr>
              <w:jc w:val="center"/>
              <w:rPr>
                <w:rFonts w:ascii="仿宋_GB2312" w:eastAsia="仿宋_GB2312" w:hAnsi="仿宋_GB2312" w:cs="仿宋_GB2312"/>
                <w:szCs w:val="32"/>
              </w:rPr>
            </w:pPr>
          </w:p>
        </w:tc>
      </w:tr>
      <w:tr w:rsidR="009103E3" w14:paraId="5DA19977" w14:textId="77777777">
        <w:trPr>
          <w:trHeight w:val="570"/>
        </w:trPr>
        <w:tc>
          <w:tcPr>
            <w:tcW w:w="4363" w:type="dxa"/>
            <w:vAlign w:val="center"/>
          </w:tcPr>
          <w:p w14:paraId="4791BCD6" w14:textId="77777777" w:rsidR="009103E3" w:rsidRDefault="009103E3">
            <w:pPr>
              <w:jc w:val="center"/>
              <w:rPr>
                <w:rFonts w:ascii="仿宋_GB2312" w:eastAsia="仿宋_GB2312" w:hAnsi="仿宋_GB2312" w:cs="仿宋_GB2312"/>
                <w:szCs w:val="32"/>
              </w:rPr>
            </w:pPr>
          </w:p>
        </w:tc>
        <w:tc>
          <w:tcPr>
            <w:tcW w:w="240" w:type="dxa"/>
          </w:tcPr>
          <w:p w14:paraId="3D062B85" w14:textId="77777777" w:rsidR="009103E3" w:rsidRDefault="009103E3">
            <w:pPr>
              <w:jc w:val="center"/>
              <w:rPr>
                <w:rFonts w:ascii="仿宋_GB2312" w:eastAsia="仿宋_GB2312" w:hAnsi="仿宋_GB2312" w:cs="仿宋_GB2312"/>
                <w:szCs w:val="32"/>
              </w:rPr>
            </w:pPr>
          </w:p>
        </w:tc>
        <w:tc>
          <w:tcPr>
            <w:tcW w:w="4082" w:type="dxa"/>
          </w:tcPr>
          <w:p w14:paraId="30C055A0" w14:textId="77777777" w:rsidR="009103E3" w:rsidRDefault="00000000">
            <w:pPr>
              <w:rPr>
                <w:rFonts w:ascii="仿宋_GB2312" w:eastAsia="仿宋_GB2312" w:hAnsi="仿宋_GB2312" w:cs="仿宋_GB2312"/>
                <w:szCs w:val="32"/>
              </w:rPr>
            </w:pPr>
            <w:r>
              <w:rPr>
                <w:rFonts w:ascii="仿宋_GB2312" w:eastAsia="仿宋_GB2312" w:hAnsi="仿宋_GB2312" w:cs="仿宋_GB2312" w:hint="eastAsia"/>
                <w:szCs w:val="32"/>
              </w:rPr>
              <w:t>二〇二三年三月二十四日</w:t>
            </w:r>
          </w:p>
        </w:tc>
      </w:tr>
    </w:tbl>
    <w:p w14:paraId="1B8948DE" w14:textId="77777777" w:rsidR="009103E3" w:rsidRDefault="009103E3"/>
    <w:sectPr w:rsidR="009103E3">
      <w:footerReference w:type="default" r:id="rId8"/>
      <w:pgSz w:w="11906" w:h="16838"/>
      <w:pgMar w:top="2098" w:right="1474" w:bottom="1985" w:left="1588" w:header="851" w:footer="992" w:gutter="0"/>
      <w:pgNumType w:start="1"/>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1A93" w14:textId="77777777" w:rsidR="00262C7E" w:rsidRDefault="00262C7E">
      <w:pPr>
        <w:spacing w:line="240" w:lineRule="auto"/>
      </w:pPr>
      <w:r>
        <w:separator/>
      </w:r>
    </w:p>
  </w:endnote>
  <w:endnote w:type="continuationSeparator" w:id="0">
    <w:p w14:paraId="10E600DF" w14:textId="77777777" w:rsidR="00262C7E" w:rsidRDefault="00262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348F" w14:textId="77777777" w:rsidR="009103E3" w:rsidRDefault="00000000">
    <w:pPr>
      <w:pStyle w:val="a5"/>
    </w:pPr>
    <w:r>
      <w:rPr>
        <w:noProof/>
      </w:rPr>
      <mc:AlternateContent>
        <mc:Choice Requires="wps">
          <w:drawing>
            <wp:anchor distT="0" distB="0" distL="114300" distR="114300" simplePos="0" relativeHeight="251659264" behindDoc="0" locked="0" layoutInCell="1" allowOverlap="1" wp14:anchorId="5F908605" wp14:editId="4672488E">
              <wp:simplePos x="0" y="0"/>
              <wp:positionH relativeFrom="margin">
                <wp:align>right</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64827" w14:textId="77777777" w:rsidR="009103E3" w:rsidRDefault="00000000">
                          <w:pPr>
                            <w:pStyle w:val="a5"/>
                          </w:pPr>
                          <w: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908605" id="_x0000_t202" coordsize="21600,21600" o:spt="202" path="m,l,21600r21600,l21600,xe">
              <v:stroke joinstyle="miter"/>
              <v:path gradientshapeok="t" o:connecttype="rect"/>
            </v:shapetype>
            <v:shape id="文本框 66"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9564827" w14:textId="77777777" w:rsidR="009103E3" w:rsidRDefault="00000000">
                    <w:pPr>
                      <w:pStyle w:val="a5"/>
                    </w:pPr>
                    <w: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B691" w14:textId="77777777" w:rsidR="00262C7E" w:rsidRDefault="00262C7E">
      <w:pPr>
        <w:spacing w:line="240" w:lineRule="auto"/>
      </w:pPr>
      <w:r>
        <w:separator/>
      </w:r>
    </w:p>
  </w:footnote>
  <w:footnote w:type="continuationSeparator" w:id="0">
    <w:p w14:paraId="2DAF9682" w14:textId="77777777" w:rsidR="00262C7E" w:rsidRDefault="00262C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A28888"/>
    <w:multiLevelType w:val="singleLevel"/>
    <w:tmpl w:val="EBA28888"/>
    <w:lvl w:ilvl="0">
      <w:start w:val="4"/>
      <w:numFmt w:val="chineseCounting"/>
      <w:suff w:val="nothing"/>
      <w:lvlText w:val="（%1）"/>
      <w:lvlJc w:val="left"/>
      <w:rPr>
        <w:rFonts w:hint="eastAsia"/>
      </w:rPr>
    </w:lvl>
  </w:abstractNum>
  <w:abstractNum w:abstractNumId="1" w15:restartNumberingAfterBreak="0">
    <w:nsid w:val="592363BE"/>
    <w:multiLevelType w:val="multilevel"/>
    <w:tmpl w:val="592363BE"/>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067992456">
    <w:abstractNumId w:val="1"/>
  </w:num>
  <w:num w:numId="2" w16cid:durableId="95764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wNDAxNjExYzY1NzY0MDU4YzA5OTMyMzBmZDc2ZmEifQ=="/>
  </w:docVars>
  <w:rsids>
    <w:rsidRoot w:val="001E09B7"/>
    <w:rsid w:val="00004BD5"/>
    <w:rsid w:val="00064CBE"/>
    <w:rsid w:val="00080B16"/>
    <w:rsid w:val="00084A58"/>
    <w:rsid w:val="0009534C"/>
    <w:rsid w:val="00095CEE"/>
    <w:rsid w:val="000A54E0"/>
    <w:rsid w:val="000A7593"/>
    <w:rsid w:val="000B259C"/>
    <w:rsid w:val="000D6EA7"/>
    <w:rsid w:val="000F5BB9"/>
    <w:rsid w:val="00113307"/>
    <w:rsid w:val="001143D8"/>
    <w:rsid w:val="0011523F"/>
    <w:rsid w:val="00120026"/>
    <w:rsid w:val="001271DD"/>
    <w:rsid w:val="00131F76"/>
    <w:rsid w:val="001424E9"/>
    <w:rsid w:val="00146F7E"/>
    <w:rsid w:val="00160F3C"/>
    <w:rsid w:val="00170071"/>
    <w:rsid w:val="00171759"/>
    <w:rsid w:val="001835A0"/>
    <w:rsid w:val="00190F8A"/>
    <w:rsid w:val="001929B5"/>
    <w:rsid w:val="00197185"/>
    <w:rsid w:val="001B285D"/>
    <w:rsid w:val="001B3CE9"/>
    <w:rsid w:val="001E09B7"/>
    <w:rsid w:val="00216DD5"/>
    <w:rsid w:val="00216DE9"/>
    <w:rsid w:val="0023226D"/>
    <w:rsid w:val="00253861"/>
    <w:rsid w:val="002607BA"/>
    <w:rsid w:val="00262C7E"/>
    <w:rsid w:val="002979BB"/>
    <w:rsid w:val="002A7884"/>
    <w:rsid w:val="002D19CA"/>
    <w:rsid w:val="002F03C4"/>
    <w:rsid w:val="003000D5"/>
    <w:rsid w:val="00385A2D"/>
    <w:rsid w:val="003A202B"/>
    <w:rsid w:val="003B3A26"/>
    <w:rsid w:val="003C45FB"/>
    <w:rsid w:val="003D2A37"/>
    <w:rsid w:val="00406841"/>
    <w:rsid w:val="00436788"/>
    <w:rsid w:val="0043716A"/>
    <w:rsid w:val="00462512"/>
    <w:rsid w:val="0048379B"/>
    <w:rsid w:val="004B3607"/>
    <w:rsid w:val="005120BD"/>
    <w:rsid w:val="00521143"/>
    <w:rsid w:val="005355A7"/>
    <w:rsid w:val="00550C6E"/>
    <w:rsid w:val="00561485"/>
    <w:rsid w:val="00561917"/>
    <w:rsid w:val="00565E7E"/>
    <w:rsid w:val="00565FBB"/>
    <w:rsid w:val="005678A2"/>
    <w:rsid w:val="00590069"/>
    <w:rsid w:val="005A0D56"/>
    <w:rsid w:val="005F07BC"/>
    <w:rsid w:val="0065531A"/>
    <w:rsid w:val="00662066"/>
    <w:rsid w:val="00663323"/>
    <w:rsid w:val="00671576"/>
    <w:rsid w:val="006727F4"/>
    <w:rsid w:val="00697ADA"/>
    <w:rsid w:val="006D752A"/>
    <w:rsid w:val="006E7B2F"/>
    <w:rsid w:val="006F0938"/>
    <w:rsid w:val="00705EB0"/>
    <w:rsid w:val="00714B2C"/>
    <w:rsid w:val="00716EBC"/>
    <w:rsid w:val="00735762"/>
    <w:rsid w:val="00754968"/>
    <w:rsid w:val="007A12F7"/>
    <w:rsid w:val="007C34C1"/>
    <w:rsid w:val="007C5CC0"/>
    <w:rsid w:val="007E1904"/>
    <w:rsid w:val="007E2E55"/>
    <w:rsid w:val="007E6FDB"/>
    <w:rsid w:val="007F1C8F"/>
    <w:rsid w:val="00807E6C"/>
    <w:rsid w:val="00817897"/>
    <w:rsid w:val="00820F8D"/>
    <w:rsid w:val="00834572"/>
    <w:rsid w:val="00834C9A"/>
    <w:rsid w:val="008867C3"/>
    <w:rsid w:val="008B16B0"/>
    <w:rsid w:val="008B2B91"/>
    <w:rsid w:val="008D721F"/>
    <w:rsid w:val="009103E3"/>
    <w:rsid w:val="00932687"/>
    <w:rsid w:val="00944071"/>
    <w:rsid w:val="00947B91"/>
    <w:rsid w:val="009508E9"/>
    <w:rsid w:val="0099194A"/>
    <w:rsid w:val="00993944"/>
    <w:rsid w:val="009B1487"/>
    <w:rsid w:val="009B2BCC"/>
    <w:rsid w:val="009E20B4"/>
    <w:rsid w:val="00A00897"/>
    <w:rsid w:val="00A07DD2"/>
    <w:rsid w:val="00A316CE"/>
    <w:rsid w:val="00A40204"/>
    <w:rsid w:val="00A67164"/>
    <w:rsid w:val="00A76C77"/>
    <w:rsid w:val="00AD6762"/>
    <w:rsid w:val="00AD74BE"/>
    <w:rsid w:val="00AE4B25"/>
    <w:rsid w:val="00AE6A86"/>
    <w:rsid w:val="00B07E5C"/>
    <w:rsid w:val="00B43507"/>
    <w:rsid w:val="00B5007B"/>
    <w:rsid w:val="00B70E03"/>
    <w:rsid w:val="00B75AF4"/>
    <w:rsid w:val="00BA1F5E"/>
    <w:rsid w:val="00BA2691"/>
    <w:rsid w:val="00BA35D7"/>
    <w:rsid w:val="00BC0524"/>
    <w:rsid w:val="00BC3D36"/>
    <w:rsid w:val="00BC67AF"/>
    <w:rsid w:val="00BD3494"/>
    <w:rsid w:val="00C124CD"/>
    <w:rsid w:val="00C20DB8"/>
    <w:rsid w:val="00C5558D"/>
    <w:rsid w:val="00CA667F"/>
    <w:rsid w:val="00CD287A"/>
    <w:rsid w:val="00CD54F1"/>
    <w:rsid w:val="00CD63BC"/>
    <w:rsid w:val="00D1051A"/>
    <w:rsid w:val="00D13D1D"/>
    <w:rsid w:val="00D16D50"/>
    <w:rsid w:val="00D20DD7"/>
    <w:rsid w:val="00D228B9"/>
    <w:rsid w:val="00D35061"/>
    <w:rsid w:val="00D37E81"/>
    <w:rsid w:val="00D61015"/>
    <w:rsid w:val="00D7606C"/>
    <w:rsid w:val="00D9444D"/>
    <w:rsid w:val="00DB5F4A"/>
    <w:rsid w:val="00DD07AF"/>
    <w:rsid w:val="00DD47D9"/>
    <w:rsid w:val="00DD4D37"/>
    <w:rsid w:val="00DE5F60"/>
    <w:rsid w:val="00DF7298"/>
    <w:rsid w:val="00E96AFA"/>
    <w:rsid w:val="00E970E1"/>
    <w:rsid w:val="00EA0246"/>
    <w:rsid w:val="00EA2B2E"/>
    <w:rsid w:val="00EB65DF"/>
    <w:rsid w:val="00EC0104"/>
    <w:rsid w:val="00EC2FAE"/>
    <w:rsid w:val="00EC388D"/>
    <w:rsid w:val="00EE4720"/>
    <w:rsid w:val="00EF4E27"/>
    <w:rsid w:val="00F44FA6"/>
    <w:rsid w:val="00F50ED1"/>
    <w:rsid w:val="00F51BD2"/>
    <w:rsid w:val="00F67B07"/>
    <w:rsid w:val="00F808CC"/>
    <w:rsid w:val="00F9452B"/>
    <w:rsid w:val="00FA47AD"/>
    <w:rsid w:val="00FB1CB4"/>
    <w:rsid w:val="00FD452B"/>
    <w:rsid w:val="00FE2865"/>
    <w:rsid w:val="00FF1F0E"/>
    <w:rsid w:val="0132783D"/>
    <w:rsid w:val="01C47BF8"/>
    <w:rsid w:val="02072A78"/>
    <w:rsid w:val="024C0DD3"/>
    <w:rsid w:val="02DC4D65"/>
    <w:rsid w:val="03BE614D"/>
    <w:rsid w:val="069B6A3E"/>
    <w:rsid w:val="06B17456"/>
    <w:rsid w:val="06B4229B"/>
    <w:rsid w:val="0758543B"/>
    <w:rsid w:val="084B1C4D"/>
    <w:rsid w:val="09DE0562"/>
    <w:rsid w:val="0AFC15E8"/>
    <w:rsid w:val="0B220922"/>
    <w:rsid w:val="0B2D56A8"/>
    <w:rsid w:val="0B8B64C8"/>
    <w:rsid w:val="0C970E9C"/>
    <w:rsid w:val="0D330BC5"/>
    <w:rsid w:val="0D865199"/>
    <w:rsid w:val="0EF23014"/>
    <w:rsid w:val="10993435"/>
    <w:rsid w:val="10997C46"/>
    <w:rsid w:val="10DC1574"/>
    <w:rsid w:val="11311578"/>
    <w:rsid w:val="131C025E"/>
    <w:rsid w:val="149363ED"/>
    <w:rsid w:val="15877D00"/>
    <w:rsid w:val="15EA028F"/>
    <w:rsid w:val="16184DFC"/>
    <w:rsid w:val="16400133"/>
    <w:rsid w:val="18493900"/>
    <w:rsid w:val="18E35E74"/>
    <w:rsid w:val="192E2B4A"/>
    <w:rsid w:val="19CE4793"/>
    <w:rsid w:val="19DC4392"/>
    <w:rsid w:val="1AE41750"/>
    <w:rsid w:val="1B661019"/>
    <w:rsid w:val="1B734D6E"/>
    <w:rsid w:val="1C1222ED"/>
    <w:rsid w:val="1CD7094F"/>
    <w:rsid w:val="1F4C5B16"/>
    <w:rsid w:val="1F934A76"/>
    <w:rsid w:val="20947775"/>
    <w:rsid w:val="217E1D31"/>
    <w:rsid w:val="21F52495"/>
    <w:rsid w:val="23063304"/>
    <w:rsid w:val="24D97E4C"/>
    <w:rsid w:val="25F72FE2"/>
    <w:rsid w:val="265D79BE"/>
    <w:rsid w:val="28304227"/>
    <w:rsid w:val="29757495"/>
    <w:rsid w:val="2C956D4E"/>
    <w:rsid w:val="2DA60AE7"/>
    <w:rsid w:val="2E174BB7"/>
    <w:rsid w:val="2EBA2A9C"/>
    <w:rsid w:val="2F366D10"/>
    <w:rsid w:val="301F2D91"/>
    <w:rsid w:val="30731155"/>
    <w:rsid w:val="309D4424"/>
    <w:rsid w:val="31BB1031"/>
    <w:rsid w:val="31DC4764"/>
    <w:rsid w:val="32E93146"/>
    <w:rsid w:val="333D5A4A"/>
    <w:rsid w:val="352073D1"/>
    <w:rsid w:val="354B08F2"/>
    <w:rsid w:val="36AF6C5F"/>
    <w:rsid w:val="37CB2AF4"/>
    <w:rsid w:val="38353194"/>
    <w:rsid w:val="395623F5"/>
    <w:rsid w:val="39691347"/>
    <w:rsid w:val="39DE7F87"/>
    <w:rsid w:val="3A60099C"/>
    <w:rsid w:val="3BE90255"/>
    <w:rsid w:val="3CF67395"/>
    <w:rsid w:val="3CFC24D2"/>
    <w:rsid w:val="3D090337"/>
    <w:rsid w:val="3D532D50"/>
    <w:rsid w:val="3EAF3CA0"/>
    <w:rsid w:val="3EEA4CD8"/>
    <w:rsid w:val="3F8E1B07"/>
    <w:rsid w:val="401C01C6"/>
    <w:rsid w:val="405B1FEB"/>
    <w:rsid w:val="412D5350"/>
    <w:rsid w:val="42165DE4"/>
    <w:rsid w:val="423746D8"/>
    <w:rsid w:val="43263245"/>
    <w:rsid w:val="442944F4"/>
    <w:rsid w:val="446077EA"/>
    <w:rsid w:val="45280308"/>
    <w:rsid w:val="457277D5"/>
    <w:rsid w:val="470D5A07"/>
    <w:rsid w:val="47EB2161"/>
    <w:rsid w:val="48D23914"/>
    <w:rsid w:val="492B43F9"/>
    <w:rsid w:val="49E14F29"/>
    <w:rsid w:val="4A5751EC"/>
    <w:rsid w:val="4AAB7630"/>
    <w:rsid w:val="4B052E99"/>
    <w:rsid w:val="4B5A2165"/>
    <w:rsid w:val="4CBB4158"/>
    <w:rsid w:val="4E047438"/>
    <w:rsid w:val="4E7A5BBB"/>
    <w:rsid w:val="4EEA58E7"/>
    <w:rsid w:val="4F506DD9"/>
    <w:rsid w:val="50966A6E"/>
    <w:rsid w:val="50CF482A"/>
    <w:rsid w:val="514B296C"/>
    <w:rsid w:val="51844B18"/>
    <w:rsid w:val="518C60C3"/>
    <w:rsid w:val="51FD48CA"/>
    <w:rsid w:val="523835F9"/>
    <w:rsid w:val="53A40A85"/>
    <w:rsid w:val="54177EC5"/>
    <w:rsid w:val="54CF07A0"/>
    <w:rsid w:val="55144405"/>
    <w:rsid w:val="565F7902"/>
    <w:rsid w:val="56982E14"/>
    <w:rsid w:val="578D049F"/>
    <w:rsid w:val="5875340D"/>
    <w:rsid w:val="589C5E1C"/>
    <w:rsid w:val="5A897173"/>
    <w:rsid w:val="5ABD109B"/>
    <w:rsid w:val="5D577585"/>
    <w:rsid w:val="5D656145"/>
    <w:rsid w:val="5EAA337C"/>
    <w:rsid w:val="5EAE35EA"/>
    <w:rsid w:val="5ED17DB2"/>
    <w:rsid w:val="5FAC34CC"/>
    <w:rsid w:val="60A96351"/>
    <w:rsid w:val="616C321A"/>
    <w:rsid w:val="62EE5634"/>
    <w:rsid w:val="63424833"/>
    <w:rsid w:val="639826A5"/>
    <w:rsid w:val="64591E34"/>
    <w:rsid w:val="64981580"/>
    <w:rsid w:val="64A137DB"/>
    <w:rsid w:val="64BB2AEF"/>
    <w:rsid w:val="658B0713"/>
    <w:rsid w:val="66240220"/>
    <w:rsid w:val="666F3B91"/>
    <w:rsid w:val="6739616E"/>
    <w:rsid w:val="68765A7F"/>
    <w:rsid w:val="68D777CC"/>
    <w:rsid w:val="69E95A08"/>
    <w:rsid w:val="6A8B3B03"/>
    <w:rsid w:val="6B96571C"/>
    <w:rsid w:val="6BCF6E80"/>
    <w:rsid w:val="6BDA7588"/>
    <w:rsid w:val="6C4F070D"/>
    <w:rsid w:val="6C5D623A"/>
    <w:rsid w:val="6D54763D"/>
    <w:rsid w:val="6E622031"/>
    <w:rsid w:val="734D525A"/>
    <w:rsid w:val="74273CFD"/>
    <w:rsid w:val="74447963"/>
    <w:rsid w:val="75504B8E"/>
    <w:rsid w:val="75AC0E56"/>
    <w:rsid w:val="75C537CD"/>
    <w:rsid w:val="75CB06B8"/>
    <w:rsid w:val="764F3097"/>
    <w:rsid w:val="765B1A3C"/>
    <w:rsid w:val="77530965"/>
    <w:rsid w:val="77AD3CA1"/>
    <w:rsid w:val="782C6708"/>
    <w:rsid w:val="79AE4043"/>
    <w:rsid w:val="7A4E3666"/>
    <w:rsid w:val="7BB35E76"/>
    <w:rsid w:val="7BED378C"/>
    <w:rsid w:val="7C2D0270"/>
    <w:rsid w:val="7F173EB6"/>
    <w:rsid w:val="7F2A22B3"/>
    <w:rsid w:val="7FC56178"/>
    <w:rsid w:val="7FF6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CE6A"/>
  <w15:docId w15:val="{1762EEBE-7F58-470D-B3E4-308ED16B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560" w:lineRule="exact"/>
      <w:jc w:val="both"/>
    </w:pPr>
    <w:rPr>
      <w:rFonts w:ascii="仿宋" w:eastAsia="仿宋" w:hAnsi="仿宋" w:cstheme="minorBidi"/>
      <w:kern w:val="2"/>
      <w:sz w:val="32"/>
      <w:szCs w:val="21"/>
    </w:rPr>
  </w:style>
  <w:style w:type="paragraph" w:styleId="1">
    <w:name w:val="heading 1"/>
    <w:basedOn w:val="a0"/>
    <w:next w:val="a0"/>
    <w:uiPriority w:val="9"/>
    <w:qFormat/>
    <w:pPr>
      <w:keepNext/>
      <w:keepLines/>
      <w:outlineLvl w:val="0"/>
    </w:pPr>
    <w:rPr>
      <w:rFonts w:eastAsia="黑体"/>
      <w:kern w:val="44"/>
    </w:rPr>
  </w:style>
  <w:style w:type="paragraph" w:styleId="2">
    <w:name w:val="heading 2"/>
    <w:basedOn w:val="a0"/>
    <w:next w:val="a0"/>
    <w:uiPriority w:val="9"/>
    <w:unhideWhenUsed/>
    <w:qFormat/>
    <w:pPr>
      <w:keepNext/>
      <w:keepLines/>
      <w:outlineLvl w:val="1"/>
    </w:pPr>
    <w:rPr>
      <w:rFonts w:ascii="Arial" w:eastAsia="楷体" w:hAnsi="Arial"/>
    </w:rPr>
  </w:style>
  <w:style w:type="paragraph" w:styleId="3">
    <w:name w:val="heading 3"/>
    <w:basedOn w:val="a0"/>
    <w:next w:val="a0"/>
    <w:link w:val="30"/>
    <w:uiPriority w:val="9"/>
    <w:unhideWhenUsed/>
    <w:qFormat/>
    <w:pPr>
      <w:keepNext/>
      <w:keepLines/>
      <w:ind w:firstLineChars="200" w:firstLine="640"/>
      <w:outlineLvl w:val="2"/>
    </w:pPr>
    <w:rPr>
      <w:rFonts w:ascii="楷体" w:eastAsia="楷体" w:hAnsi="楷体"/>
    </w:rPr>
  </w:style>
  <w:style w:type="paragraph" w:styleId="4">
    <w:name w:val="heading 4"/>
    <w:basedOn w:val="a0"/>
    <w:next w:val="a0"/>
    <w:uiPriority w:val="9"/>
    <w:unhideWhenUsed/>
    <w:qFormat/>
    <w:pPr>
      <w:keepNext/>
      <w:keepLines/>
      <w:ind w:firstLineChars="200" w:firstLine="640"/>
      <w:outlineLvl w:val="3"/>
    </w:pPr>
    <w:rPr>
      <w:rFonts w:ascii="楷体" w:eastAsia="楷体" w:hAnsi="楷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semiHidden/>
    <w:unhideWhenUsed/>
    <w:qFormat/>
    <w:pPr>
      <w:jc w:val="left"/>
    </w:pPr>
  </w:style>
  <w:style w:type="paragraph" w:styleId="a5">
    <w:name w:val="footer"/>
    <w:basedOn w:val="a0"/>
    <w:link w:val="a6"/>
    <w:uiPriority w:val="99"/>
    <w:unhideWhenUsed/>
    <w:qFormat/>
    <w:pPr>
      <w:tabs>
        <w:tab w:val="center" w:pos="4153"/>
        <w:tab w:val="right" w:pos="8306"/>
      </w:tabs>
      <w:snapToGrid w:val="0"/>
      <w:jc w:val="left"/>
    </w:pPr>
    <w:rPr>
      <w:sz w:val="18"/>
      <w:szCs w:val="18"/>
    </w:rPr>
  </w:style>
  <w:style w:type="paragraph" w:styleId="a7">
    <w:name w:val="header"/>
    <w:basedOn w:val="a0"/>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semiHidden/>
    <w:unhideWhenUsed/>
    <w:qFormat/>
  </w:style>
  <w:style w:type="paragraph" w:styleId="TOC2">
    <w:name w:val="toc 2"/>
    <w:basedOn w:val="a0"/>
    <w:next w:val="a0"/>
    <w:uiPriority w:val="39"/>
    <w:semiHidden/>
    <w:unhideWhenUsed/>
    <w:qFormat/>
    <w:pPr>
      <w:ind w:leftChars="200" w:left="420"/>
    </w:pPr>
  </w:style>
  <w:style w:type="table" w:styleId="a9">
    <w:name w:val="Table Grid"/>
    <w:basedOn w:val="a2"/>
    <w:uiPriority w:val="5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customStyle="1" w:styleId="a">
    <w:name w:val="列项——（一级）"/>
    <w:qFormat/>
    <w:pPr>
      <w:widowControl w:val="0"/>
      <w:numPr>
        <w:numId w:val="1"/>
      </w:numPr>
      <w:spacing w:beforeLines="50" w:before="50" w:afterLines="50" w:after="50"/>
      <w:ind w:left="975"/>
      <w:jc w:val="both"/>
    </w:pPr>
    <w:rPr>
      <w:rFonts w:ascii="宋体"/>
      <w:sz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30">
    <w:name w:val="标题 3 字符"/>
    <w:link w:val="3"/>
    <w:qFormat/>
    <w:rPr>
      <w:rFonts w:ascii="楷体" w:eastAsia="楷体" w:hAnsi="楷体"/>
    </w:r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优</dc:creator>
  <cp:lastModifiedBy>林 优</cp:lastModifiedBy>
  <cp:revision>338</cp:revision>
  <dcterms:created xsi:type="dcterms:W3CDTF">2023-02-28T06:29:00Z</dcterms:created>
  <dcterms:modified xsi:type="dcterms:W3CDTF">2023-04-19T01:20:00Z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A3E640C088C643D0A766436588428A65</vt:lpwstr>
  </property>
</Properties>
</file>