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赤壁市2018年-2022年长江流域重点水域禁捕和退捕渔民转产安置资金安排情况说明</w:t>
      </w:r>
    </w:p>
    <w:p>
      <w:pPr>
        <w:spacing w:line="600" w:lineRule="exact"/>
        <w:ind w:firstLine="616" w:firstLineChars="200"/>
        <w:rPr>
          <w:rFonts w:hint="eastAsia" w:ascii="黑体" w:hAnsi="黑体" w:eastAsia="黑体" w:cs="黑体"/>
          <w:spacing w:val="-2"/>
          <w:kern w:val="0"/>
          <w:sz w:val="32"/>
          <w:szCs w:val="32"/>
        </w:rPr>
      </w:pPr>
    </w:p>
    <w:p>
      <w:pPr>
        <w:spacing w:line="600" w:lineRule="exact"/>
        <w:ind w:firstLine="616" w:firstLineChars="200"/>
        <w:rPr>
          <w:rFonts w:ascii="黑体" w:hAnsi="黑体" w:eastAsia="黑体" w:cs="黑体"/>
          <w:spacing w:val="-2"/>
          <w:kern w:val="0"/>
          <w:sz w:val="32"/>
          <w:szCs w:val="32"/>
        </w:rPr>
      </w:pPr>
      <w:r>
        <w:rPr>
          <w:rFonts w:hint="eastAsia" w:ascii="黑体" w:hAnsi="黑体" w:eastAsia="黑体" w:cs="黑体"/>
          <w:spacing w:val="-2"/>
          <w:kern w:val="0"/>
          <w:sz w:val="32"/>
          <w:szCs w:val="32"/>
        </w:rPr>
        <w:t>一、赤壁市长江流域重点水域禁捕和退捕基本情况</w:t>
      </w:r>
      <w:bookmarkStart w:id="0" w:name="_GoBack"/>
      <w:bookmarkEnd w:id="0"/>
    </w:p>
    <w:p>
      <w:pPr>
        <w:spacing w:line="60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赤壁市域内长江岸线17公里，2018年1月1日对皤河特有鱼类国家级水产种质资源保护区、湖北长江新螺段白鳍豚国家级自然保护区赤壁水域、咸宁市西凉湖水生生物自然保护区赤壁水域等三个保护区实行全面禁捕。2020年新增黄盖湖和陆水湖两个水域。禁捕范围共涉及全市12个乡镇（办、区）44个行政村。赤壁市共有有证渔船213艘渔民420人，无业专业渔船（事实渔船）42艘渔民82人，无证兼业渔船</w:t>
      </w:r>
      <w:r>
        <w:rPr>
          <w:rFonts w:hint="eastAsia" w:ascii="仿宋_GB2312" w:hAnsi="仿宋_GB2312" w:eastAsia="仿宋_GB2312" w:cs="仿宋_GB2312"/>
          <w:sz w:val="32"/>
          <w:szCs w:val="32"/>
          <w:lang w:val="en-US" w:eastAsia="zh-CN"/>
        </w:rPr>
        <w:t>1920</w:t>
      </w:r>
      <w:r>
        <w:rPr>
          <w:rFonts w:hint="eastAsia" w:ascii="仿宋_GB2312" w:hAnsi="仿宋_GB2312" w:eastAsia="仿宋_GB2312" w:cs="仿宋_GB2312"/>
          <w:sz w:val="32"/>
          <w:szCs w:val="32"/>
        </w:rPr>
        <w:t>艘渔民</w:t>
      </w:r>
      <w:r>
        <w:rPr>
          <w:rFonts w:hint="eastAsia" w:ascii="仿宋_GB2312" w:hAnsi="仿宋_GB2312" w:eastAsia="仿宋_GB2312" w:cs="仿宋_GB2312"/>
          <w:sz w:val="32"/>
          <w:szCs w:val="32"/>
          <w:lang w:val="en-US" w:eastAsia="zh-CN"/>
        </w:rPr>
        <w:t>2931</w:t>
      </w:r>
      <w:r>
        <w:rPr>
          <w:rFonts w:hint="eastAsia" w:ascii="仿宋_GB2312" w:hAnsi="仿宋_GB2312" w:eastAsia="仿宋_GB2312" w:cs="仿宋_GB2312"/>
          <w:sz w:val="32"/>
          <w:szCs w:val="32"/>
        </w:rPr>
        <w:t>人。</w:t>
      </w:r>
    </w:p>
    <w:p>
      <w:pPr>
        <w:spacing w:line="600" w:lineRule="exact"/>
        <w:ind w:firstLine="616" w:firstLineChars="200"/>
        <w:rPr>
          <w:rFonts w:ascii="黑体" w:hAnsi="黑体" w:eastAsia="黑体" w:cs="黑体"/>
          <w:spacing w:val="-2"/>
          <w:kern w:val="0"/>
          <w:sz w:val="32"/>
          <w:szCs w:val="32"/>
        </w:rPr>
      </w:pPr>
      <w:r>
        <w:rPr>
          <w:rFonts w:hint="eastAsia" w:ascii="黑体" w:hAnsi="黑体" w:eastAsia="黑体" w:cs="黑体"/>
          <w:spacing w:val="-2"/>
          <w:kern w:val="0"/>
          <w:sz w:val="32"/>
          <w:szCs w:val="32"/>
        </w:rPr>
        <w:t>二、赤壁市长江流域重点水域禁捕和退捕资金安排使用情况</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1.上级补助资金安排使用情况。</w: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2021年3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日，市财政局共收到中央、省长江禁捕退捕资金</w:t>
      </w:r>
      <w:r>
        <w:rPr>
          <w:rFonts w:hint="eastAsia" w:ascii="仿宋_GB2312" w:hAnsi="仿宋_GB2312" w:eastAsia="仿宋_GB2312" w:cs="仿宋_GB2312"/>
          <w:sz w:val="32"/>
          <w:szCs w:val="32"/>
          <w:lang w:val="en-US" w:eastAsia="zh-CN"/>
        </w:rPr>
        <w:t>3657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lang w:val="en-US" w:eastAsia="zh-CN"/>
        </w:rPr>
        <w:t>2021年861万元</w:t>
      </w:r>
      <w:r>
        <w:rPr>
          <w:rFonts w:hint="eastAsia" w:ascii="仿宋_GB2312" w:hAnsi="仿宋_GB2312" w:eastAsia="仿宋_GB2312" w:cs="仿宋_GB2312"/>
          <w:sz w:val="32"/>
          <w:szCs w:val="32"/>
          <w:lang w:eastAsia="zh-CN"/>
        </w:rPr>
        <w:t>）。分级次：</w:t>
      </w:r>
      <w:r>
        <w:rPr>
          <w:rFonts w:hint="eastAsia" w:ascii="仿宋_GB2312" w:hAnsi="仿宋_GB2312" w:eastAsia="仿宋_GB2312" w:cs="仿宋_GB2312"/>
          <w:sz w:val="32"/>
          <w:szCs w:val="32"/>
        </w:rPr>
        <w:t>中央</w:t>
      </w:r>
      <w:r>
        <w:rPr>
          <w:rFonts w:hint="eastAsia" w:ascii="仿宋_GB2312" w:hAnsi="仿宋_GB2312" w:eastAsia="仿宋_GB2312" w:cs="仿宋_GB2312"/>
          <w:sz w:val="32"/>
          <w:szCs w:val="32"/>
          <w:lang w:val="en-US" w:eastAsia="zh-CN"/>
        </w:rPr>
        <w:t>1982</w:t>
      </w:r>
      <w:r>
        <w:rPr>
          <w:rFonts w:hint="eastAsia" w:ascii="仿宋_GB2312" w:hAnsi="仿宋_GB2312" w:eastAsia="仿宋_GB2312" w:cs="仿宋_GB2312"/>
          <w:sz w:val="32"/>
          <w:szCs w:val="32"/>
        </w:rPr>
        <w:t>万元，省级16</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；分性质：一次性补助</w:t>
      </w:r>
      <w:r>
        <w:rPr>
          <w:rFonts w:hint="eastAsia" w:ascii="仿宋_GB2312" w:hAnsi="仿宋_GB2312" w:eastAsia="仿宋_GB2312" w:cs="仿宋_GB2312"/>
          <w:sz w:val="32"/>
          <w:szCs w:val="32"/>
          <w:lang w:val="en-US" w:eastAsia="zh-CN"/>
        </w:rPr>
        <w:t>2327万元，</w:t>
      </w:r>
      <w:r>
        <w:rPr>
          <w:rFonts w:hint="eastAsia" w:ascii="仿宋_GB2312" w:hAnsi="仿宋_GB2312" w:eastAsia="仿宋_GB2312" w:cs="仿宋_GB2312"/>
          <w:sz w:val="32"/>
          <w:szCs w:val="32"/>
          <w:lang w:eastAsia="zh-CN"/>
        </w:rPr>
        <w:t>过渡期补助</w:t>
      </w:r>
      <w:r>
        <w:rPr>
          <w:rFonts w:hint="eastAsia" w:ascii="仿宋_GB2312" w:hAnsi="仿宋_GB2312" w:eastAsia="仿宋_GB2312" w:cs="仿宋_GB2312"/>
          <w:sz w:val="32"/>
          <w:szCs w:val="32"/>
          <w:lang w:val="en-US" w:eastAsia="zh-CN"/>
        </w:rPr>
        <w:t>1330万元</w:t>
      </w:r>
      <w:r>
        <w:rPr>
          <w:rFonts w:hint="eastAsia" w:ascii="仿宋_GB2312" w:hAnsi="仿宋_GB2312" w:eastAsia="仿宋_GB2312" w:cs="仿宋_GB2312"/>
          <w:sz w:val="32"/>
          <w:szCs w:val="32"/>
        </w:rPr>
        <w:t>。目前，市财政局已下达拨付到市农业农村局</w:t>
      </w:r>
      <w:r>
        <w:rPr>
          <w:rFonts w:hint="eastAsia" w:ascii="仿宋_GB2312" w:hAnsi="仿宋_GB2312" w:eastAsia="仿宋_GB2312" w:cs="仿宋_GB2312"/>
          <w:sz w:val="32"/>
          <w:szCs w:val="32"/>
          <w:lang w:val="en-US" w:eastAsia="zh-CN"/>
        </w:rPr>
        <w:t>3657</w:t>
      </w:r>
      <w:r>
        <w:rPr>
          <w:rFonts w:hint="eastAsia" w:ascii="仿宋_GB2312" w:hAnsi="仿宋_GB2312" w:eastAsia="仿宋_GB2312" w:cs="仿宋_GB2312"/>
          <w:sz w:val="32"/>
          <w:szCs w:val="32"/>
        </w:rPr>
        <w:t>万元，上级补助资金拨付率100%。截止</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日，市农业农村局已支付上级禁捕退捕资金</w:t>
      </w:r>
      <w:r>
        <w:rPr>
          <w:rFonts w:hint="eastAsia" w:ascii="仿宋_GB2312" w:hAnsi="仿宋_GB2312" w:eastAsia="仿宋_GB2312" w:cs="仿宋_GB2312"/>
          <w:sz w:val="32"/>
          <w:szCs w:val="32"/>
          <w:lang w:val="en-US" w:eastAsia="zh-CN"/>
        </w:rPr>
        <w:t>2285.82</w:t>
      </w:r>
      <w:r>
        <w:rPr>
          <w:rFonts w:hint="eastAsia" w:ascii="仿宋_GB2312" w:hAnsi="仿宋_GB2312" w:eastAsia="仿宋_GB2312" w:cs="仿宋_GB2312"/>
          <w:sz w:val="32"/>
          <w:szCs w:val="32"/>
        </w:rPr>
        <w:t>万元。其中：其中：减船转产奖励补偿款106.5万元；渔船渔具征收补偿款112.81万元；捕捞证征收补偿款1554.9万元；生活费补偿款255.6万元；养老保险补贴239.82万元；其他16.19万元。213艘持证渔船退捕补偿资金平均9.554万元/艘。</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2.本级资金安排使用情况。</w:t>
      </w:r>
      <w:r>
        <w:rPr>
          <w:rFonts w:hint="eastAsia" w:ascii="仿宋_GB2312" w:hAnsi="仿宋_GB2312" w:eastAsia="仿宋_GB2312" w:cs="仿宋_GB2312"/>
          <w:sz w:val="32"/>
          <w:szCs w:val="32"/>
          <w:lang w:val="en-US" w:eastAsia="zh-CN"/>
        </w:rPr>
        <w:t>根据《财政部办公厅关于进一步加强资金统筹力度积极做好长江流域重点水域禁捕和退捕渔民安置财政保障工作的通知》和《省财政厅关于进一步做好长江流域重点水域禁捕退捕工作贯彻落实财政保障政策的实施细则的通知》等文件精神</w:t>
      </w:r>
      <w:r>
        <w:rPr>
          <w:rFonts w:hint="eastAsia" w:ascii="仿宋_GB2312" w:hAnsi="仿宋_GB2312" w:eastAsia="仿宋_GB2312" w:cs="仿宋_GB2312"/>
          <w:sz w:val="32"/>
          <w:szCs w:val="32"/>
        </w:rPr>
        <w:t>，结合我市实际情</w:t>
      </w:r>
      <w:r>
        <w:rPr>
          <w:rFonts w:hint="eastAsia" w:ascii="仿宋_GB2312" w:hAnsi="仿宋_GB2312" w:eastAsia="仿宋_GB2312" w:cs="仿宋_GB2312"/>
          <w:sz w:val="32"/>
          <w:szCs w:val="32"/>
          <w:lang w:val="en-US" w:eastAsia="zh-CN"/>
        </w:rPr>
        <w:t>况，赤壁市本级预算统筹安排长江禁捕退捕及转业安置资金3066万元，其中：</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（1）“三无”船只拆解、渔具补偿费用700万元；</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（2）各乡镇、农业农村局、市场监管、公安部门执法装备及工作经费800万元；</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（3）长江流域重点水域技防布控500万元；</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（4）生产生活用船安装定位装置250万元；</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（5）2020-2021年退捕渔民养老保险等社保补贴费用344万元；</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（6）2020-2021年96名禁捕退捕渔民转岗护渔员公益性岗位242万元；</w:t>
      </w:r>
    </w:p>
    <w:p>
      <w:pPr>
        <w:keepNext w:val="0"/>
        <w:keepLines w:val="0"/>
        <w:pageBreakBefore w:val="0"/>
        <w:widowControl w:val="0"/>
        <w:numPr>
          <w:ilvl w:val="0"/>
          <w:numId w:val="0"/>
        </w:numPr>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（7）退捕渔民再就业职业技能培训及招聘经费30万元；</w:t>
      </w:r>
    </w:p>
    <w:p>
      <w:pPr>
        <w:keepNext w:val="0"/>
        <w:keepLines w:val="0"/>
        <w:pageBreakBefore w:val="0"/>
        <w:widowControl w:val="0"/>
        <w:numPr>
          <w:ilvl w:val="0"/>
          <w:numId w:val="0"/>
        </w:numPr>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（8）退捕贫困渔民精准脱贫50万元；</w:t>
      </w:r>
    </w:p>
    <w:p>
      <w:pPr>
        <w:keepNext w:val="0"/>
        <w:keepLines w:val="0"/>
        <w:pageBreakBefore w:val="0"/>
        <w:widowControl w:val="0"/>
        <w:numPr>
          <w:ilvl w:val="0"/>
          <w:numId w:val="0"/>
        </w:numPr>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（9）退捕渔民农村低保、五保、社会救助资金兜底保障100万元；</w:t>
      </w:r>
    </w:p>
    <w:p>
      <w:pPr>
        <w:keepNext w:val="0"/>
        <w:keepLines w:val="0"/>
        <w:pageBreakBefore w:val="0"/>
        <w:widowControl w:val="0"/>
        <w:numPr>
          <w:ilvl w:val="0"/>
          <w:numId w:val="0"/>
        </w:numPr>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（10）禁捕退捕宣传引导、信访举报等50万元。</w:t>
      </w:r>
    </w:p>
    <w:p>
      <w:pPr>
        <w:keepNext w:val="0"/>
        <w:keepLines w:val="0"/>
        <w:pageBreakBefore w:val="0"/>
        <w:widowControl w:val="0"/>
        <w:numPr>
          <w:ilvl w:val="0"/>
          <w:numId w:val="0"/>
        </w:numPr>
        <w:kinsoku/>
        <w:wordWrap/>
        <w:overflowPunct/>
        <w:topLinePunct w:val="0"/>
        <w:autoSpaceDE/>
        <w:autoSpaceDN/>
        <w:bidi w:val="0"/>
        <w:adjustRightInd/>
        <w:snapToGrid/>
        <w:ind w:firstLine="936" w:firstLineChars="300"/>
        <w:textAlignment w:val="auto"/>
        <w:rPr>
          <w:rFonts w:hint="eastAsia" w:ascii="仿宋_GB2312" w:hAnsi="仿宋_GB2312" w:eastAsia="仿宋_GB2312" w:cs="仿宋_GB2312"/>
          <w:sz w:val="32"/>
          <w:szCs w:val="32"/>
        </w:rPr>
      </w:pPr>
    </w:p>
    <w:p>
      <w:pPr>
        <w:spacing w:line="600" w:lineRule="exact"/>
        <w:ind w:firstLine="624"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cs="黑体"/>
          <w:spacing w:val="-2"/>
          <w:kern w:val="0"/>
          <w:sz w:val="32"/>
          <w:szCs w:val="32"/>
        </w:rPr>
        <w:t>赤壁市长江流域重点水域禁捕和退捕资金安排使用</w:t>
      </w:r>
      <w:r>
        <w:rPr>
          <w:rFonts w:hint="eastAsia" w:ascii="黑体" w:hAnsi="黑体" w:eastAsia="黑体"/>
          <w:sz w:val="32"/>
          <w:szCs w:val="32"/>
        </w:rPr>
        <w:t>下一步工作措施</w:t>
      </w:r>
    </w:p>
    <w:p>
      <w:pPr>
        <w:adjustRightInd w:val="0"/>
        <w:snapToGrid w:val="0"/>
        <w:spacing w:line="600" w:lineRule="exact"/>
        <w:ind w:firstLine="624" w:firstLineChars="200"/>
        <w:rPr>
          <w:rFonts w:ascii="仿宋_GB2312" w:eastAsia="仿宋_GB2312"/>
          <w:sz w:val="32"/>
          <w:szCs w:val="32"/>
        </w:rPr>
      </w:pPr>
      <w:r>
        <w:rPr>
          <w:rFonts w:hint="eastAsia" w:ascii="仿宋_GB2312" w:eastAsia="仿宋_GB2312"/>
          <w:b/>
          <w:bCs/>
          <w:sz w:val="32"/>
          <w:szCs w:val="32"/>
        </w:rPr>
        <w:t>1.提高政治站位。</w:t>
      </w:r>
      <w:r>
        <w:rPr>
          <w:rFonts w:hint="eastAsia" w:ascii="仿宋_GB2312" w:eastAsia="仿宋_GB2312"/>
          <w:sz w:val="32"/>
          <w:szCs w:val="32"/>
        </w:rPr>
        <w:t>“长江‘十年禁渔’是为全局计，为子孙谋的重要决策”。市财政部门将站在“两个维护”的政治高度，坚决贯彻落实好“十年禁渔令”和中央、省、咸宁市领导指示批示，全面落实主体责任，用足用好现行政策，进一步加大资金筹措力度，全力统筹拨付各级各类财政资金，为我市长江流域重点水域禁捕退捕相关政策落实提供资金保障。</w:t>
      </w:r>
    </w:p>
    <w:p>
      <w:pPr>
        <w:keepNext w:val="0"/>
        <w:keepLines w:val="0"/>
        <w:pageBreakBefore w:val="0"/>
        <w:widowControl w:val="0"/>
        <w:numPr>
          <w:ilvl w:val="0"/>
          <w:numId w:val="0"/>
        </w:numPr>
        <w:kinsoku/>
        <w:wordWrap/>
        <w:overflowPunct/>
        <w:topLinePunct w:val="0"/>
        <w:autoSpaceDE/>
        <w:autoSpaceDN/>
        <w:bidi w:val="0"/>
        <w:adjustRightInd/>
        <w:snapToGrid/>
        <w:ind w:firstLine="624" w:firstLineChars="200"/>
        <w:textAlignment w:val="auto"/>
        <w:rPr>
          <w:rFonts w:ascii="仿宋_GB2312" w:eastAsia="仿宋_GB2312"/>
          <w:sz w:val="32"/>
          <w:szCs w:val="32"/>
        </w:rPr>
      </w:pPr>
      <w:r>
        <w:rPr>
          <w:rFonts w:hint="eastAsia" w:ascii="仿宋_GB2312" w:eastAsia="仿宋_GB2312"/>
          <w:b/>
          <w:bCs/>
          <w:sz w:val="32"/>
          <w:szCs w:val="32"/>
        </w:rPr>
        <w:t>2.加强资金监管。</w:t>
      </w:r>
      <w:r>
        <w:rPr>
          <w:rFonts w:hint="eastAsia" w:ascii="仿宋_GB2312" w:hAnsi="仿宋_GB2312" w:eastAsia="仿宋_GB2312" w:cs="仿宋_GB2312"/>
          <w:sz w:val="32"/>
          <w:szCs w:val="32"/>
        </w:rPr>
        <w:t>市财政部门将</w:t>
      </w:r>
      <w:r>
        <w:rPr>
          <w:rFonts w:hint="eastAsia" w:ascii="仿宋_GB2312" w:hAnsi="仿宋_GB2312" w:eastAsia="仿宋_GB2312" w:cs="仿宋_GB2312"/>
          <w:sz w:val="32"/>
          <w:szCs w:val="32"/>
          <w:lang w:eastAsia="zh-CN"/>
        </w:rPr>
        <w:t>加大力度</w:t>
      </w:r>
      <w:r>
        <w:rPr>
          <w:rFonts w:hint="eastAsia" w:ascii="仿宋_GB2312" w:hAnsi="仿宋_GB2312" w:eastAsia="仿宋_GB2312" w:cs="仿宋_GB2312"/>
          <w:sz w:val="32"/>
          <w:szCs w:val="32"/>
        </w:rPr>
        <w:t>统筹相关资金，根据长江禁捕退捕工作进展分阶段安排使用，确保长江流域重点水域禁捕和退捕工作资金需求。</w:t>
      </w:r>
      <w:r>
        <w:rPr>
          <w:rFonts w:hint="eastAsia" w:ascii="仿宋_GB2312" w:eastAsia="仿宋_GB2312"/>
          <w:sz w:val="32"/>
          <w:szCs w:val="32"/>
        </w:rPr>
        <w:t>定期对全市长江禁捕财政补助资金进行专项检查，重点检查长江禁捕财政补助资金支出情况与进度，补助资金是否按照规定用途使用，是否存在截留挪用、贪污侵占等违法违纪问题，是否存在应补未补、补助不及时、补助金额不足等问题。</w:t>
      </w:r>
    </w:p>
    <w:p>
      <w:pPr>
        <w:adjustRightInd w:val="0"/>
        <w:snapToGrid w:val="0"/>
        <w:spacing w:line="600" w:lineRule="exact"/>
        <w:ind w:firstLine="624" w:firstLineChars="200"/>
      </w:pPr>
      <w:r>
        <w:rPr>
          <w:rFonts w:hint="eastAsia" w:ascii="仿宋_GB2312" w:eastAsia="仿宋_GB2312"/>
          <w:b/>
          <w:bCs/>
          <w:sz w:val="32"/>
          <w:szCs w:val="32"/>
        </w:rPr>
        <w:t>3.提高资金绩效。</w:t>
      </w:r>
      <w:r>
        <w:rPr>
          <w:rFonts w:hint="eastAsia" w:ascii="仿宋_GB2312" w:eastAsia="仿宋_GB2312"/>
          <w:sz w:val="32"/>
          <w:szCs w:val="32"/>
        </w:rPr>
        <w:t>目前市财政部门正在梳理长江禁捕财政补助资金绩效管理情况，下一步将组织对已实施完成的项目进行重点绩效评价，对正在实施的项目进行绩效监控，确保长江禁捕财政补助资金拨付到哪里，绩效管理跟踪到哪里，最大限度发挥长江禁捕财政补助资金使用效益。</w:t>
      </w:r>
    </w:p>
    <w:p/>
    <w:sectPr>
      <w:footerReference r:id="rId3" w:type="default"/>
      <w:footerReference r:id="rId4" w:type="even"/>
      <w:pgSz w:w="11906" w:h="16838"/>
      <w:pgMar w:top="2098" w:right="1474" w:bottom="1984" w:left="1587" w:header="851" w:footer="992" w:gutter="0"/>
      <w:pgNumType w:fmt="numberInDash"/>
      <w:cols w:space="0" w:num="1"/>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1024" behindDoc="0" locked="0" layoutInCell="1" allowOverlap="1">
              <wp:simplePos x="0" y="0"/>
              <wp:positionH relativeFrom="margin">
                <wp:posOffset>5245100</wp:posOffset>
              </wp:positionH>
              <wp:positionV relativeFrom="paragraph">
                <wp:posOffset>-361950</wp:posOffset>
              </wp:positionV>
              <wp:extent cx="447040" cy="24320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47040" cy="243205"/>
                      </a:xfrm>
                      <a:prstGeom prst="rect">
                        <a:avLst/>
                      </a:prstGeom>
                      <a:noFill/>
                      <a:ln w="6350">
                        <a:noFill/>
                      </a:ln>
                      <a:effectLst/>
                    </wps:spPr>
                    <wps:txbx>
                      <w:txbxContent>
                        <w:p>
                          <w:pPr>
                            <w:snapToGrid w:val="0"/>
                            <w:rPr>
                              <w:rFonts w:ascii="仿宋" w:hAnsi="仿宋" w:eastAsia="仿宋" w:cs="仿宋"/>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  \* MERGEFORMAT </w:instrText>
                          </w:r>
                          <w:r>
                            <w:rPr>
                              <w:rFonts w:hint="eastAsia" w:ascii="仿宋" w:hAnsi="仿宋" w:eastAsia="仿宋" w:cs="仿宋"/>
                              <w:b/>
                              <w:bCs/>
                              <w:sz w:val="28"/>
                              <w:szCs w:val="28"/>
                            </w:rPr>
                            <w:fldChar w:fldCharType="separate"/>
                          </w:r>
                          <w:r>
                            <w:rPr>
                              <w:rFonts w:ascii="仿宋" w:hAnsi="仿宋" w:eastAsia="仿宋" w:cs="仿宋"/>
                              <w:b/>
                              <w:bCs/>
                              <w:sz w:val="28"/>
                              <w:szCs w:val="28"/>
                            </w:rPr>
                            <w:t>- 1 -</w:t>
                          </w:r>
                          <w:r>
                            <w:rPr>
                              <w:rFonts w:hint="eastAsia" w:ascii="仿宋" w:hAnsi="仿宋" w:eastAsia="仿宋" w:cs="仿宋"/>
                              <w:b/>
                              <w:bCs/>
                              <w:sz w:val="28"/>
                              <w:szCs w:val="28"/>
                            </w:rPr>
                            <w:fldChar w:fldCharType="end"/>
                          </w:r>
                        </w:p>
                      </w:txbxContent>
                    </wps:txbx>
                    <wps:bodyPr wrap="square" lIns="0" tIns="0" rIns="0" bIns="0" upright="1">
                      <a:noAutofit/>
                    </wps:bodyPr>
                  </wps:wsp>
                </a:graphicData>
              </a:graphic>
            </wp:anchor>
          </w:drawing>
        </mc:Choice>
        <mc:Fallback>
          <w:pict>
            <v:shape id="文本框 1025" o:spid="_x0000_s1026" o:spt="202" type="#_x0000_t202" style="position:absolute;left:0pt;margin-left:413pt;margin-top:-28.5pt;height:19.15pt;width:35.2pt;mso-position-horizontal-relative:margin;z-index:1024;mso-width-relative:page;mso-height-relative:page;" filled="f" stroked="f" coordsize="21600,21600" o:gfxdata="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0r6ftoAAAALAQAA&#10;DwAAAAAAAAABACAAAAAiAAAAZHJzL2Rvd25yZXYueG1sUEsBAhQAFAAAAAgAh07iQHbM4sjeAQAA&#10;swMAAA4AAAAAAAAAAQAgAAAAKQEAAGRycy9lMm9Eb2MueG1sUEsFBgAAAAAGAAYAWQEAAHkFAAAA&#10;AA==&#10;">
              <v:fill on="f" focussize="0,0"/>
              <v:stroke on="f" weight="0.5pt"/>
              <v:imagedata o:title=""/>
              <o:lock v:ext="edit" aspectratio="f"/>
              <v:textbox inset="0mm,0mm,0mm,0mm">
                <w:txbxContent>
                  <w:p>
                    <w:pPr>
                      <w:snapToGrid w:val="0"/>
                      <w:rPr>
                        <w:rFonts w:ascii="仿宋" w:hAnsi="仿宋" w:eastAsia="仿宋" w:cs="仿宋"/>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  \* MERGEFORMAT </w:instrText>
                    </w:r>
                    <w:r>
                      <w:rPr>
                        <w:rFonts w:hint="eastAsia" w:ascii="仿宋" w:hAnsi="仿宋" w:eastAsia="仿宋" w:cs="仿宋"/>
                        <w:b/>
                        <w:bCs/>
                        <w:sz w:val="28"/>
                        <w:szCs w:val="28"/>
                      </w:rPr>
                      <w:fldChar w:fldCharType="separate"/>
                    </w:r>
                    <w:r>
                      <w:rPr>
                        <w:rFonts w:ascii="仿宋" w:hAnsi="仿宋" w:eastAsia="仿宋" w:cs="仿宋"/>
                        <w:b/>
                        <w:bCs/>
                        <w:sz w:val="28"/>
                        <w:szCs w:val="28"/>
                      </w:rPr>
                      <w:t>- 1 -</w:t>
                    </w:r>
                    <w:r>
                      <w:rPr>
                        <w:rFonts w:hint="eastAsia" w:ascii="仿宋" w:hAnsi="仿宋" w:eastAsia="仿宋" w:cs="仿宋"/>
                        <w:b/>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1024" behindDoc="0" locked="0" layoutInCell="1" allowOverlap="1">
              <wp:simplePos x="0" y="0"/>
              <wp:positionH relativeFrom="margin">
                <wp:posOffset>635</wp:posOffset>
              </wp:positionH>
              <wp:positionV relativeFrom="paragraph">
                <wp:posOffset>-352425</wp:posOffset>
              </wp:positionV>
              <wp:extent cx="417195" cy="23304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417195" cy="233045"/>
                      </a:xfrm>
                      <a:prstGeom prst="rect">
                        <a:avLst/>
                      </a:prstGeom>
                      <a:noFill/>
                      <a:ln w="6350">
                        <a:noFill/>
                      </a:ln>
                      <a:effectLst/>
                    </wps:spPr>
                    <wps:txbx>
                      <w:txbxContent>
                        <w:p>
                          <w:pPr>
                            <w:snapToGrid w:val="0"/>
                            <w:rPr>
                              <w:rFonts w:ascii="仿宋" w:hAnsi="仿宋" w:eastAsia="仿宋" w:cs="仿宋"/>
                              <w:sz w:val="1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  \* MERGEFORMAT </w:instrText>
                          </w:r>
                          <w:r>
                            <w:rPr>
                              <w:rFonts w:hint="eastAsia" w:ascii="仿宋" w:hAnsi="仿宋" w:eastAsia="仿宋" w:cs="仿宋"/>
                              <w:b/>
                              <w:bCs/>
                              <w:sz w:val="28"/>
                              <w:szCs w:val="28"/>
                            </w:rPr>
                            <w:fldChar w:fldCharType="separate"/>
                          </w:r>
                          <w:r>
                            <w:rPr>
                              <w:rFonts w:ascii="仿宋" w:hAnsi="仿宋" w:eastAsia="仿宋" w:cs="仿宋"/>
                              <w:b/>
                              <w:bCs/>
                              <w:sz w:val="28"/>
                              <w:szCs w:val="28"/>
                            </w:rPr>
                            <w:t>- 2 -</w:t>
                          </w:r>
                          <w:r>
                            <w:rPr>
                              <w:rFonts w:hint="eastAsia" w:ascii="仿宋" w:hAnsi="仿宋" w:eastAsia="仿宋" w:cs="仿宋"/>
                              <w:b/>
                              <w:bCs/>
                              <w:sz w:val="28"/>
                              <w:szCs w:val="28"/>
                            </w:rPr>
                            <w:fldChar w:fldCharType="end"/>
                          </w:r>
                        </w:p>
                      </w:txbxContent>
                    </wps:txbx>
                    <wps:bodyPr wrap="square" lIns="0" tIns="0" rIns="0" bIns="0" upright="1">
                      <a:noAutofit/>
                    </wps:bodyPr>
                  </wps:wsp>
                </a:graphicData>
              </a:graphic>
            </wp:anchor>
          </w:drawing>
        </mc:Choice>
        <mc:Fallback>
          <w:pict>
            <v:shape id="文本框 1026" o:spid="_x0000_s1026" o:spt="202" type="#_x0000_t202" style="position:absolute;left:0pt;margin-left:0.05pt;margin-top:-27.75pt;height:18.35pt;width:32.85pt;mso-position-horizontal-relative:margin;z-index:1024;mso-width-relative:page;mso-height-relative:page;" filled="f" stroked="f" coordsize="21600,21600" o:gfxdata="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A4xtUAAAAHAQAADwAA&#10;AAAAAAABACAAAAAiAAAAZHJzL2Rvd25yZXYueG1sUEsBAhQAFAAAAAgAh07iQKdrK3fgAQAAswMA&#10;AA4AAAAAAAAAAQAgAAAAJAEAAGRycy9lMm9Eb2MueG1sUEsFBgAAAAAGAAYAWQEAAHYFAAAAAA==&#10;">
              <v:fill on="f" focussize="0,0"/>
              <v:stroke on="f" weight="0.5pt"/>
              <v:imagedata o:title=""/>
              <o:lock v:ext="edit" aspectratio="f"/>
              <v:textbox inset="0mm,0mm,0mm,0mm">
                <w:txbxContent>
                  <w:p>
                    <w:pPr>
                      <w:snapToGrid w:val="0"/>
                      <w:rPr>
                        <w:rFonts w:ascii="仿宋" w:hAnsi="仿宋" w:eastAsia="仿宋" w:cs="仿宋"/>
                        <w:sz w:val="1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  \* MERGEFORMAT </w:instrText>
                    </w:r>
                    <w:r>
                      <w:rPr>
                        <w:rFonts w:hint="eastAsia" w:ascii="仿宋" w:hAnsi="仿宋" w:eastAsia="仿宋" w:cs="仿宋"/>
                        <w:b/>
                        <w:bCs/>
                        <w:sz w:val="28"/>
                        <w:szCs w:val="28"/>
                      </w:rPr>
                      <w:fldChar w:fldCharType="separate"/>
                    </w:r>
                    <w:r>
                      <w:rPr>
                        <w:rFonts w:ascii="仿宋" w:hAnsi="仿宋" w:eastAsia="仿宋" w:cs="仿宋"/>
                        <w:b/>
                        <w:bCs/>
                        <w:sz w:val="28"/>
                        <w:szCs w:val="28"/>
                      </w:rPr>
                      <w:t>- 2 -</w:t>
                    </w:r>
                    <w:r>
                      <w:rPr>
                        <w:rFonts w:hint="eastAsia" w:ascii="仿宋" w:hAnsi="仿宋" w:eastAsia="仿宋" w:cs="仿宋"/>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953E8"/>
    <w:rsid w:val="268A34C2"/>
    <w:rsid w:val="40FB31AA"/>
    <w:rsid w:val="52A757F1"/>
    <w:rsid w:val="6BA95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bCs/>
      <w:sz w:val="32"/>
      <w:szCs w:val="32"/>
    </w:rPr>
  </w:style>
  <w:style w:type="paragraph" w:styleId="3">
    <w:name w:val="Body Text Indent"/>
    <w:basedOn w:val="1"/>
    <w:qFormat/>
    <w:uiPriority w:val="0"/>
    <w:pPr>
      <w:ind w:left="200" w:leftChars="200"/>
    </w:pPr>
    <w:rPr>
      <w:rFonts w:ascii="Times New Roman" w:hAnsi="Times New Roman" w:cs="Times New Roman"/>
    </w:rPr>
  </w:style>
  <w:style w:type="paragraph" w:styleId="4">
    <w:name w:val="footer"/>
    <w:basedOn w:val="1"/>
    <w:qFormat/>
    <w:uiPriority w:val="99"/>
    <w:pPr>
      <w:tabs>
        <w:tab w:val="center" w:pos="4153"/>
        <w:tab w:val="right" w:pos="8306"/>
      </w:tabs>
      <w:snapToGrid w:val="0"/>
      <w:jc w:val="left"/>
    </w:pPr>
    <w:rPr>
      <w:sz w:val="18"/>
    </w:rPr>
  </w:style>
  <w:style w:type="paragraph" w:styleId="5">
    <w:name w:val="Body Text First Indent 2"/>
    <w:basedOn w:val="3"/>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2021-03-12T01:04:00Z</dcterms:created>
  <dc:creator>293419056</dc:creator>
  <cp:lastModifiedBy>293419056</cp:lastModifiedBy>
  <dcterms:modified xsi:type="dcterms:W3CDTF">2021-03-12T01:41:23Z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