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方正小标宋简体" w:hAnsi="方正小标宋简体" w:eastAsia="方正小标宋简体" w:cs="方正小标宋简体"/>
          <w:i w:val="0"/>
          <w:caps w:val="0"/>
          <w:color w:val="333333"/>
          <w:spacing w:val="0"/>
          <w:sz w:val="32"/>
          <w:szCs w:val="32"/>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黑体" w:hAnsi="黑体" w:eastAsia="黑体" w:cs="黑体"/>
          <w:i w:val="0"/>
          <w:caps w:val="0"/>
          <w:color w:val="333333"/>
          <w:spacing w:val="0"/>
          <w:sz w:val="44"/>
          <w:szCs w:val="44"/>
          <w:lang w:val="en-US" w:eastAsia="zh-CN"/>
        </w:rPr>
      </w:pPr>
      <w:r>
        <w:rPr>
          <w:rFonts w:hint="eastAsia" w:ascii="黑体" w:hAnsi="黑体" w:eastAsia="黑体" w:cs="黑体"/>
          <w:i w:val="0"/>
          <w:caps w:val="0"/>
          <w:color w:val="333333"/>
          <w:spacing w:val="0"/>
          <w:sz w:val="44"/>
          <w:szCs w:val="44"/>
          <w:lang w:val="en-US" w:eastAsia="zh-CN"/>
        </w:rPr>
        <w:t>咸宁市生态环境局赤壁市分局</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方正小标宋简体" w:hAnsi="方正小标宋简体" w:eastAsia="方正小标宋简体" w:cs="方正小标宋简体"/>
          <w:i w:val="0"/>
          <w:caps w:val="0"/>
          <w:color w:val="333333"/>
          <w:spacing w:val="0"/>
          <w:sz w:val="44"/>
          <w:szCs w:val="44"/>
          <w:lang w:val="en-US" w:eastAsia="zh-CN"/>
        </w:rPr>
      </w:pPr>
      <w:r>
        <w:rPr>
          <w:rFonts w:hint="eastAsia" w:ascii="黑体" w:hAnsi="黑体" w:eastAsia="黑体" w:cs="黑体"/>
          <w:i w:val="0"/>
          <w:caps w:val="0"/>
          <w:color w:val="333333"/>
          <w:spacing w:val="0"/>
          <w:sz w:val="44"/>
          <w:szCs w:val="44"/>
          <w:lang w:val="en-US" w:eastAsia="zh-CN"/>
        </w:rPr>
        <w:t>2024年部门预算公开说明</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jc w:val="center"/>
        <w:textAlignment w:val="auto"/>
        <w:rPr>
          <w:rFonts w:hint="eastAsia" w:ascii="方正小标宋简体" w:hAnsi="方正小标宋简体" w:eastAsia="方正小标宋简体" w:cs="方正小标宋简体"/>
          <w:i w:val="0"/>
          <w:caps w:val="0"/>
          <w:color w:val="333333"/>
          <w:spacing w:val="0"/>
          <w:sz w:val="44"/>
          <w:szCs w:val="44"/>
          <w:lang w:val="en-US"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黑体" w:hAnsi="黑体" w:eastAsia="黑体" w:cs="黑体"/>
          <w:b/>
          <w:bCs/>
          <w:i w:val="0"/>
          <w:caps w:val="0"/>
          <w:color w:val="333333"/>
          <w:spacing w:val="0"/>
          <w:kern w:val="0"/>
          <w:sz w:val="36"/>
          <w:szCs w:val="36"/>
          <w:lang w:val="en-US" w:eastAsia="zh-CN" w:bidi="ar"/>
        </w:rPr>
      </w:pPr>
      <w:r>
        <w:rPr>
          <w:rFonts w:hint="eastAsia" w:ascii="黑体" w:hAnsi="黑体" w:eastAsia="黑体" w:cs="黑体"/>
          <w:b/>
          <w:bCs/>
          <w:i w:val="0"/>
          <w:caps w:val="0"/>
          <w:color w:val="333333"/>
          <w:spacing w:val="0"/>
          <w:kern w:val="0"/>
          <w:sz w:val="36"/>
          <w:szCs w:val="36"/>
          <w:lang w:val="en-US" w:eastAsia="zh-CN" w:bidi="ar"/>
        </w:rPr>
        <w:t>目  录</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黑体" w:hAnsi="黑体" w:eastAsia="黑体" w:cs="黑体"/>
          <w:b/>
          <w:bCs/>
          <w:i w:val="0"/>
          <w:caps w:val="0"/>
          <w:color w:val="333333"/>
          <w:spacing w:val="0"/>
          <w:kern w:val="0"/>
          <w:sz w:val="27"/>
          <w:szCs w:val="27"/>
          <w:lang w:val="en-US" w:eastAsia="zh-CN" w:bidi="ar"/>
        </w:rPr>
      </w:pPr>
    </w:p>
    <w:p>
      <w:pPr>
        <w:pStyle w:val="12"/>
        <w:keepNext w:val="0"/>
        <w:keepLines w:val="0"/>
        <w:pageBreakBefore w:val="0"/>
        <w:kinsoku/>
        <w:wordWrap/>
        <w:overflowPunct/>
        <w:topLinePunct w:val="0"/>
        <w:autoSpaceDE/>
        <w:autoSpaceDN/>
        <w:bidi w:val="0"/>
        <w:adjustRightInd/>
        <w:snapToGrid/>
        <w:spacing w:line="480" w:lineRule="exact"/>
        <w:ind w:left="0" w:leftChars="0" w:firstLine="723" w:firstLineChars="200"/>
        <w:textAlignment w:val="auto"/>
        <w:rPr>
          <w:rFonts w:hint="eastAsia" w:ascii="楷体_GB2312" w:hAnsi="楷体_GB2312" w:eastAsia="楷体_GB2312" w:cs="楷体_GB2312"/>
          <w:b/>
          <w:bCs/>
          <w:i w:val="0"/>
          <w:caps w:val="0"/>
          <w:color w:val="333333"/>
          <w:spacing w:val="0"/>
          <w:kern w:val="0"/>
          <w:sz w:val="36"/>
          <w:szCs w:val="36"/>
          <w:lang w:val="en-US" w:eastAsia="zh-CN" w:bidi="ar"/>
        </w:rPr>
      </w:pPr>
      <w:r>
        <w:rPr>
          <w:rFonts w:hint="eastAsia" w:ascii="楷体_GB2312" w:hAnsi="楷体_GB2312" w:eastAsia="楷体_GB2312" w:cs="楷体_GB2312"/>
          <w:b/>
          <w:bCs/>
          <w:i w:val="0"/>
          <w:caps w:val="0"/>
          <w:color w:val="333333"/>
          <w:spacing w:val="0"/>
          <w:kern w:val="0"/>
          <w:sz w:val="36"/>
          <w:szCs w:val="36"/>
          <w:lang w:val="en-US" w:eastAsia="zh-CN" w:bidi="ar"/>
        </w:rPr>
        <w:t>第一部分 单位概况</w:t>
      </w:r>
    </w:p>
    <w:p>
      <w:pPr>
        <w:pStyle w:val="13"/>
        <w:bidi w:val="0"/>
        <w:rPr>
          <w:rFonts w:hint="eastAsia"/>
          <w:lang w:val="en-US" w:eastAsia="zh-CN"/>
        </w:rPr>
      </w:pPr>
      <w:r>
        <w:rPr>
          <w:rFonts w:hint="eastAsia"/>
          <w:lang w:val="en-US" w:eastAsia="zh-CN"/>
        </w:rPr>
        <w:t>（一）主要职能</w:t>
      </w:r>
    </w:p>
    <w:p>
      <w:pPr>
        <w:pStyle w:val="13"/>
        <w:bidi w:val="0"/>
        <w:rPr>
          <w:rFonts w:hint="eastAsia"/>
          <w:lang w:val="en-US" w:eastAsia="zh-CN"/>
        </w:rPr>
      </w:pPr>
      <w:r>
        <w:rPr>
          <w:rFonts w:hint="eastAsia"/>
          <w:lang w:val="en-US" w:eastAsia="zh-CN"/>
        </w:rPr>
        <w:t>（二）机构设置</w:t>
      </w:r>
    </w:p>
    <w:p>
      <w:pPr>
        <w:pStyle w:val="13"/>
        <w:bidi w:val="0"/>
        <w:rPr>
          <w:rFonts w:hint="eastAsia"/>
          <w:lang w:val="en-US" w:eastAsia="zh-CN"/>
        </w:rPr>
      </w:pPr>
      <w:r>
        <w:rPr>
          <w:rFonts w:hint="eastAsia"/>
          <w:lang w:val="en-US" w:eastAsia="zh-CN"/>
        </w:rPr>
        <w:t>（三）年度主要工作任务及目标</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723" w:firstLineChars="200"/>
        <w:jc w:val="both"/>
        <w:textAlignment w:val="auto"/>
        <w:rPr>
          <w:rFonts w:hint="eastAsia" w:ascii="楷体_GB2312" w:hAnsi="楷体_GB2312" w:eastAsia="楷体_GB2312" w:cs="楷体_GB2312"/>
          <w:b/>
          <w:bCs/>
          <w:i w:val="0"/>
          <w:caps w:val="0"/>
          <w:color w:val="333333"/>
          <w:spacing w:val="0"/>
          <w:sz w:val="36"/>
          <w:szCs w:val="36"/>
        </w:rPr>
      </w:pPr>
      <w:r>
        <w:rPr>
          <w:rFonts w:hint="eastAsia" w:ascii="楷体_GB2312" w:hAnsi="楷体_GB2312" w:eastAsia="楷体_GB2312" w:cs="楷体_GB2312"/>
          <w:b/>
          <w:bCs/>
          <w:i w:val="0"/>
          <w:caps w:val="0"/>
          <w:color w:val="333333"/>
          <w:spacing w:val="0"/>
          <w:sz w:val="36"/>
          <w:szCs w:val="36"/>
        </w:rPr>
        <w:t>第</w:t>
      </w:r>
      <w:r>
        <w:rPr>
          <w:rFonts w:hint="eastAsia" w:ascii="楷体_GB2312" w:hAnsi="楷体_GB2312" w:eastAsia="楷体_GB2312" w:cs="楷体_GB2312"/>
          <w:b/>
          <w:bCs/>
          <w:i w:val="0"/>
          <w:caps w:val="0"/>
          <w:color w:val="333333"/>
          <w:spacing w:val="0"/>
          <w:sz w:val="36"/>
          <w:szCs w:val="36"/>
          <w:lang w:eastAsia="zh-CN"/>
        </w:rPr>
        <w:t>二</w:t>
      </w:r>
      <w:r>
        <w:rPr>
          <w:rFonts w:hint="eastAsia" w:ascii="楷体_GB2312" w:hAnsi="楷体_GB2312" w:eastAsia="楷体_GB2312" w:cs="楷体_GB2312"/>
          <w:b/>
          <w:bCs/>
          <w:i w:val="0"/>
          <w:caps w:val="0"/>
          <w:color w:val="333333"/>
          <w:spacing w:val="0"/>
          <w:sz w:val="36"/>
          <w:szCs w:val="36"/>
        </w:rPr>
        <w:t>部分 20</w:t>
      </w:r>
      <w:r>
        <w:rPr>
          <w:rFonts w:hint="eastAsia" w:ascii="楷体_GB2312" w:hAnsi="楷体_GB2312" w:eastAsia="楷体_GB2312" w:cs="楷体_GB2312"/>
          <w:b/>
          <w:bCs/>
          <w:i w:val="0"/>
          <w:caps w:val="0"/>
          <w:color w:val="333333"/>
          <w:spacing w:val="0"/>
          <w:sz w:val="36"/>
          <w:szCs w:val="36"/>
          <w:lang w:val="en-US" w:eastAsia="zh-CN"/>
        </w:rPr>
        <w:t>24</w:t>
      </w:r>
      <w:r>
        <w:rPr>
          <w:rFonts w:hint="eastAsia" w:ascii="楷体_GB2312" w:hAnsi="楷体_GB2312" w:eastAsia="楷体_GB2312" w:cs="楷体_GB2312"/>
          <w:b/>
          <w:bCs/>
          <w:i w:val="0"/>
          <w:caps w:val="0"/>
          <w:color w:val="333333"/>
          <w:spacing w:val="0"/>
          <w:sz w:val="36"/>
          <w:szCs w:val="36"/>
        </w:rPr>
        <w:t>年部门预算表</w:t>
      </w:r>
    </w:p>
    <w:p>
      <w:pPr>
        <w:pStyle w:val="13"/>
        <w:bidi w:val="0"/>
        <w:rPr>
          <w:rFonts w:hint="eastAsia"/>
        </w:rPr>
      </w:pPr>
      <w:r>
        <w:rPr>
          <w:rFonts w:hint="eastAsia"/>
        </w:rPr>
        <w:t>（一）部门收支总表</w:t>
      </w:r>
    </w:p>
    <w:p>
      <w:pPr>
        <w:pStyle w:val="13"/>
        <w:bidi w:val="0"/>
        <w:rPr>
          <w:rFonts w:hint="eastAsia"/>
        </w:rPr>
      </w:pPr>
      <w:r>
        <w:rPr>
          <w:rFonts w:hint="eastAsia"/>
        </w:rPr>
        <w:t>（二）部门收入总表</w:t>
      </w:r>
    </w:p>
    <w:p>
      <w:pPr>
        <w:pStyle w:val="13"/>
        <w:bidi w:val="0"/>
        <w:rPr>
          <w:rFonts w:hint="eastAsia"/>
        </w:rPr>
      </w:pPr>
      <w:r>
        <w:rPr>
          <w:rFonts w:hint="eastAsia"/>
        </w:rPr>
        <w:t>（三）部门支出总表</w:t>
      </w:r>
    </w:p>
    <w:p>
      <w:pPr>
        <w:pStyle w:val="13"/>
        <w:bidi w:val="0"/>
        <w:rPr>
          <w:rFonts w:hint="eastAsia"/>
        </w:rPr>
      </w:pPr>
      <w:r>
        <w:rPr>
          <w:rFonts w:hint="eastAsia"/>
        </w:rPr>
        <w:t>（四）财政拨款收支总表</w:t>
      </w:r>
    </w:p>
    <w:p>
      <w:pPr>
        <w:pStyle w:val="13"/>
        <w:bidi w:val="0"/>
        <w:rPr>
          <w:rFonts w:hint="eastAsia"/>
        </w:rPr>
      </w:pPr>
      <w:r>
        <w:rPr>
          <w:rFonts w:hint="eastAsia"/>
        </w:rPr>
        <w:t>（五）一般公共预算支出表</w:t>
      </w:r>
    </w:p>
    <w:p>
      <w:pPr>
        <w:pStyle w:val="13"/>
        <w:bidi w:val="0"/>
        <w:rPr>
          <w:rFonts w:hint="eastAsia"/>
        </w:rPr>
      </w:pPr>
      <w:r>
        <w:rPr>
          <w:rFonts w:hint="eastAsia"/>
        </w:rPr>
        <w:t>（六）一般公共预算基本支出表</w:t>
      </w:r>
    </w:p>
    <w:p>
      <w:pPr>
        <w:pStyle w:val="13"/>
        <w:bidi w:val="0"/>
        <w:rPr>
          <w:rFonts w:hint="eastAsia"/>
        </w:rPr>
      </w:pPr>
      <w:r>
        <w:rPr>
          <w:rFonts w:hint="eastAsia"/>
        </w:rPr>
        <w:t>（七）一般公共预算“三公”经费支出表</w:t>
      </w:r>
    </w:p>
    <w:p>
      <w:pPr>
        <w:pStyle w:val="13"/>
        <w:bidi w:val="0"/>
        <w:rPr>
          <w:rFonts w:hint="eastAsia"/>
        </w:rPr>
      </w:pPr>
      <w:r>
        <w:rPr>
          <w:rFonts w:hint="eastAsia"/>
        </w:rPr>
        <w:t>（八）政府性基金预算支出表</w:t>
      </w:r>
    </w:p>
    <w:p>
      <w:pPr>
        <w:pStyle w:val="13"/>
        <w:bidi w:val="0"/>
        <w:rPr>
          <w:rFonts w:hint="eastAsia"/>
          <w:lang w:eastAsia="zh-CN"/>
        </w:rPr>
      </w:pPr>
      <w:r>
        <w:rPr>
          <w:rFonts w:hint="eastAsia"/>
          <w:lang w:eastAsia="zh-CN"/>
        </w:rPr>
        <w:t>（九）部门项目支出表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723" w:firstLineChars="200"/>
        <w:jc w:val="both"/>
        <w:textAlignment w:val="auto"/>
        <w:rPr>
          <w:rFonts w:hint="eastAsia" w:ascii="楷体_GB2312" w:hAnsi="楷体_GB2312" w:eastAsia="楷体_GB2312" w:cs="楷体_GB2312"/>
          <w:b/>
          <w:bCs/>
          <w:i w:val="0"/>
          <w:caps w:val="0"/>
          <w:color w:val="333333"/>
          <w:spacing w:val="0"/>
          <w:sz w:val="36"/>
          <w:szCs w:val="36"/>
        </w:rPr>
      </w:pPr>
      <w:r>
        <w:rPr>
          <w:rFonts w:hint="eastAsia" w:ascii="楷体_GB2312" w:hAnsi="楷体_GB2312" w:eastAsia="楷体_GB2312" w:cs="楷体_GB2312"/>
          <w:b/>
          <w:bCs/>
          <w:i w:val="0"/>
          <w:caps w:val="0"/>
          <w:color w:val="333333"/>
          <w:spacing w:val="0"/>
          <w:sz w:val="36"/>
          <w:szCs w:val="36"/>
        </w:rPr>
        <w:t>第</w:t>
      </w:r>
      <w:r>
        <w:rPr>
          <w:rFonts w:hint="eastAsia" w:ascii="楷体_GB2312" w:hAnsi="楷体_GB2312" w:eastAsia="楷体_GB2312" w:cs="楷体_GB2312"/>
          <w:b/>
          <w:bCs/>
          <w:i w:val="0"/>
          <w:caps w:val="0"/>
          <w:color w:val="333333"/>
          <w:spacing w:val="0"/>
          <w:sz w:val="36"/>
          <w:szCs w:val="36"/>
          <w:lang w:eastAsia="zh-CN"/>
        </w:rPr>
        <w:t>三</w:t>
      </w:r>
      <w:r>
        <w:rPr>
          <w:rFonts w:hint="eastAsia" w:ascii="楷体_GB2312" w:hAnsi="楷体_GB2312" w:eastAsia="楷体_GB2312" w:cs="楷体_GB2312"/>
          <w:b/>
          <w:bCs/>
          <w:i w:val="0"/>
          <w:caps w:val="0"/>
          <w:color w:val="333333"/>
          <w:spacing w:val="0"/>
          <w:sz w:val="36"/>
          <w:szCs w:val="36"/>
        </w:rPr>
        <w:t>部分 20</w:t>
      </w:r>
      <w:r>
        <w:rPr>
          <w:rFonts w:hint="eastAsia" w:ascii="楷体_GB2312" w:hAnsi="楷体_GB2312" w:eastAsia="楷体_GB2312" w:cs="楷体_GB2312"/>
          <w:b/>
          <w:bCs/>
          <w:i w:val="0"/>
          <w:caps w:val="0"/>
          <w:color w:val="333333"/>
          <w:spacing w:val="0"/>
          <w:sz w:val="36"/>
          <w:szCs w:val="36"/>
          <w:lang w:val="en-US" w:eastAsia="zh-CN"/>
        </w:rPr>
        <w:t>24</w:t>
      </w:r>
      <w:r>
        <w:rPr>
          <w:rFonts w:hint="eastAsia" w:ascii="楷体_GB2312" w:hAnsi="楷体_GB2312" w:eastAsia="楷体_GB2312" w:cs="楷体_GB2312"/>
          <w:b/>
          <w:bCs/>
          <w:i w:val="0"/>
          <w:caps w:val="0"/>
          <w:color w:val="333333"/>
          <w:spacing w:val="0"/>
          <w:sz w:val="36"/>
          <w:szCs w:val="36"/>
        </w:rPr>
        <w:t>年部门预算编制情况及说明</w:t>
      </w:r>
    </w:p>
    <w:p>
      <w:pPr>
        <w:pStyle w:val="13"/>
        <w:bidi w:val="0"/>
        <w:rPr>
          <w:rFonts w:hint="eastAsia"/>
        </w:rPr>
      </w:pPr>
      <w:r>
        <w:rPr>
          <w:rFonts w:hint="eastAsia"/>
        </w:rPr>
        <w:t>（一）预算收支安排及增减变化情况说明</w:t>
      </w:r>
    </w:p>
    <w:p>
      <w:pPr>
        <w:pStyle w:val="13"/>
        <w:bidi w:val="0"/>
        <w:rPr>
          <w:rFonts w:hint="eastAsia"/>
        </w:rPr>
      </w:pPr>
      <w:r>
        <w:rPr>
          <w:rFonts w:hint="eastAsia"/>
        </w:rPr>
        <w:t>（二）机关运行经费安排及增减变化情况说明</w:t>
      </w:r>
    </w:p>
    <w:p>
      <w:pPr>
        <w:pStyle w:val="13"/>
        <w:bidi w:val="0"/>
        <w:rPr>
          <w:rFonts w:hint="eastAsia"/>
        </w:rPr>
      </w:pPr>
      <w:r>
        <w:rPr>
          <w:rFonts w:hint="eastAsia"/>
        </w:rPr>
        <w:t>（三）“三公”经费安排及增减变化情况说明</w:t>
      </w:r>
    </w:p>
    <w:p>
      <w:pPr>
        <w:pStyle w:val="13"/>
        <w:bidi w:val="0"/>
        <w:rPr>
          <w:rFonts w:hint="eastAsia"/>
        </w:rPr>
      </w:pPr>
      <w:r>
        <w:rPr>
          <w:rFonts w:hint="eastAsia"/>
        </w:rPr>
        <w:t>（四）政府采购预算安排及增减变化情况说明</w:t>
      </w:r>
    </w:p>
    <w:p>
      <w:pPr>
        <w:pStyle w:val="13"/>
        <w:bidi w:val="0"/>
        <w:rPr>
          <w:rFonts w:hint="eastAsia"/>
        </w:rPr>
      </w:pPr>
      <w:r>
        <w:rPr>
          <w:rFonts w:hint="eastAsia"/>
        </w:rPr>
        <w:t>（五）国有资产占用及增减变化情况说明</w:t>
      </w:r>
    </w:p>
    <w:p>
      <w:pPr>
        <w:pStyle w:val="13"/>
        <w:bidi w:val="0"/>
        <w:rPr>
          <w:rFonts w:hint="eastAsia"/>
          <w:lang w:eastAsia="zh-CN"/>
        </w:rPr>
      </w:pPr>
      <w:r>
        <w:rPr>
          <w:rFonts w:hint="eastAsia"/>
          <w:lang w:eastAsia="zh-CN"/>
        </w:rPr>
        <w:t>（六）政府购买服务增减及变化情况说明</w:t>
      </w:r>
    </w:p>
    <w:p>
      <w:pPr>
        <w:pStyle w:val="13"/>
        <w:bidi w:val="0"/>
        <w:rPr>
          <w:rFonts w:hint="eastAsia"/>
          <w:lang w:eastAsia="zh-CN"/>
        </w:rPr>
      </w:pPr>
      <w:r>
        <w:rPr>
          <w:rFonts w:hint="eastAsia"/>
          <w:lang w:eastAsia="zh-CN"/>
        </w:rPr>
        <w:t>（七）政府性基金预算支出情况说明</w:t>
      </w:r>
    </w:p>
    <w:p>
      <w:pPr>
        <w:pStyle w:val="13"/>
        <w:bidi w:val="0"/>
        <w:rPr>
          <w:rFonts w:hint="eastAsia"/>
          <w:lang w:eastAsia="zh-CN"/>
        </w:rPr>
      </w:pPr>
      <w:r>
        <w:rPr>
          <w:rFonts w:hint="eastAsia"/>
          <w:lang w:eastAsia="zh-CN"/>
        </w:rPr>
        <w:t>（八）20</w:t>
      </w:r>
      <w:r>
        <w:rPr>
          <w:rFonts w:hint="eastAsia"/>
          <w:lang w:val="en-US" w:eastAsia="zh-CN"/>
        </w:rPr>
        <w:t>24</w:t>
      </w:r>
      <w:r>
        <w:rPr>
          <w:rFonts w:hint="eastAsia"/>
          <w:lang w:eastAsia="zh-CN"/>
        </w:rPr>
        <w:t>年部门预算绩效情况说明</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723" w:firstLineChars="200"/>
        <w:jc w:val="both"/>
        <w:textAlignment w:val="auto"/>
        <w:rPr>
          <w:rFonts w:hint="eastAsia" w:ascii="楷体_GB2312" w:hAnsi="楷体_GB2312" w:eastAsia="楷体_GB2312" w:cs="楷体_GB2312"/>
          <w:b/>
          <w:bCs/>
          <w:i w:val="0"/>
          <w:caps w:val="0"/>
          <w:color w:val="333333"/>
          <w:spacing w:val="0"/>
          <w:sz w:val="36"/>
          <w:szCs w:val="36"/>
        </w:rPr>
      </w:pPr>
      <w:r>
        <w:rPr>
          <w:rFonts w:hint="eastAsia" w:ascii="楷体_GB2312" w:hAnsi="楷体_GB2312" w:eastAsia="楷体_GB2312" w:cs="楷体_GB2312"/>
          <w:b/>
          <w:bCs/>
          <w:i w:val="0"/>
          <w:caps w:val="0"/>
          <w:color w:val="333333"/>
          <w:spacing w:val="0"/>
          <w:sz w:val="36"/>
          <w:szCs w:val="36"/>
          <w:lang w:eastAsia="zh-CN"/>
        </w:rPr>
        <w:t xml:space="preserve">第四部分 </w:t>
      </w:r>
      <w:r>
        <w:rPr>
          <w:rFonts w:hint="eastAsia" w:ascii="楷体_GB2312" w:hAnsi="楷体_GB2312" w:eastAsia="楷体_GB2312" w:cs="楷体_GB2312"/>
          <w:b/>
          <w:bCs/>
          <w:i w:val="0"/>
          <w:caps w:val="0"/>
          <w:color w:val="333333"/>
          <w:spacing w:val="0"/>
          <w:sz w:val="36"/>
          <w:szCs w:val="36"/>
        </w:rPr>
        <w:t>名词解释</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黑体" w:hAnsi="黑体" w:eastAsia="黑体" w:cs="黑体"/>
          <w:i w:val="0"/>
          <w:caps w:val="0"/>
          <w:color w:val="333333"/>
          <w:spacing w:val="0"/>
          <w:kern w:val="0"/>
          <w:sz w:val="27"/>
          <w:szCs w:val="27"/>
          <w:lang w:val="en-US" w:eastAsia="zh-CN" w:bidi="ar"/>
        </w:rPr>
      </w:pPr>
    </w:p>
    <w:p>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right="0"/>
        <w:jc w:val="center"/>
        <w:textAlignment w:val="auto"/>
        <w:rPr>
          <w:rFonts w:hint="eastAsia" w:ascii="黑体" w:hAnsi="黑体" w:eastAsia="黑体" w:cs="黑体"/>
          <w:i w:val="0"/>
          <w:caps w:val="0"/>
          <w:color w:val="333333"/>
          <w:spacing w:val="0"/>
          <w:kern w:val="0"/>
          <w:sz w:val="36"/>
          <w:szCs w:val="36"/>
          <w:lang w:val="en-US" w:eastAsia="zh-CN" w:bidi="ar"/>
        </w:rPr>
      </w:pPr>
      <w:r>
        <w:rPr>
          <w:rFonts w:hint="eastAsia" w:ascii="黑体" w:hAnsi="黑体" w:eastAsia="黑体" w:cs="黑体"/>
          <w:i w:val="0"/>
          <w:caps w:val="0"/>
          <w:color w:val="333333"/>
          <w:spacing w:val="0"/>
          <w:kern w:val="0"/>
          <w:sz w:val="36"/>
          <w:szCs w:val="36"/>
          <w:lang w:val="en-US" w:eastAsia="zh-CN" w:bidi="ar"/>
        </w:rPr>
        <w:t>单位概况</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right="0" w:rightChars="0"/>
        <w:jc w:val="both"/>
        <w:textAlignment w:val="auto"/>
        <w:rPr>
          <w:rFonts w:hint="eastAsia" w:ascii="黑体" w:hAnsi="黑体" w:eastAsia="黑体" w:cs="黑体"/>
          <w:i w:val="0"/>
          <w:caps w:val="0"/>
          <w:color w:val="333333"/>
          <w:spacing w:val="0"/>
          <w:kern w:val="0"/>
          <w:sz w:val="36"/>
          <w:szCs w:val="36"/>
          <w:lang w:val="en-US" w:eastAsia="zh-CN" w:bidi="ar"/>
        </w:rPr>
      </w:pPr>
    </w:p>
    <w:p>
      <w:pPr>
        <w:pStyle w:val="12"/>
        <w:keepNext w:val="0"/>
        <w:keepLines w:val="0"/>
        <w:pageBreakBefore w:val="0"/>
        <w:kinsoku/>
        <w:wordWrap/>
        <w:overflowPunct/>
        <w:topLinePunct w:val="0"/>
        <w:autoSpaceDE/>
        <w:autoSpaceDN/>
        <w:bidi w:val="0"/>
        <w:adjustRightInd/>
        <w:snapToGrid/>
        <w:spacing w:line="480" w:lineRule="exact"/>
        <w:jc w:val="left"/>
        <w:textAlignment w:val="auto"/>
        <w:rPr>
          <w:rFonts w:hint="eastAsia" w:ascii="楷体_GB2312" w:hAnsi="Times New Roman" w:eastAsia="楷体_GB2312" w:cs="楷体_GB2312"/>
          <w:b/>
          <w:bCs/>
          <w:i w:val="0"/>
          <w:caps w:val="0"/>
          <w:smallCaps w:val="0"/>
          <w:color w:val="333333"/>
          <w:spacing w:val="0"/>
          <w:kern w:val="0"/>
          <w:sz w:val="32"/>
          <w:szCs w:val="32"/>
          <w:lang w:val="en-US" w:eastAsia="zh-CN" w:bidi="ar-SA"/>
        </w:rPr>
      </w:pPr>
      <w:r>
        <w:rPr>
          <w:rFonts w:hint="eastAsia" w:ascii="楷体_GB2312" w:hAnsi="Times New Roman" w:eastAsia="楷体_GB2312" w:cs="楷体_GB2312"/>
          <w:b/>
          <w:bCs/>
          <w:i w:val="0"/>
          <w:caps w:val="0"/>
          <w:smallCaps w:val="0"/>
          <w:color w:val="333333"/>
          <w:spacing w:val="0"/>
          <w:kern w:val="0"/>
          <w:sz w:val="32"/>
          <w:szCs w:val="32"/>
          <w:lang w:val="en-US" w:eastAsia="zh-CN" w:bidi="ar-SA"/>
        </w:rPr>
        <w:t>一、主要职能</w:t>
      </w:r>
    </w:p>
    <w:p>
      <w:pPr>
        <w:pStyle w:val="13"/>
        <w:bidi w:val="0"/>
        <w:rPr>
          <w:rFonts w:hint="eastAsia"/>
          <w:lang w:val="en-US" w:eastAsia="zh-CN"/>
        </w:rPr>
      </w:pPr>
      <w:r>
        <w:rPr>
          <w:rFonts w:hint="eastAsia"/>
          <w:lang w:val="en-US" w:eastAsia="zh-CN"/>
        </w:rPr>
        <w:t>市生态环境局赤壁市分局贯彻落实党中央关于生态环境保护工作的方针政策和省委决策部署，落实市委和市生态环境局党组工作要求，在履行职责过程中坚持和加强党对生态环境保护工作的集中统一领导。主要职责是∶</w:t>
      </w:r>
    </w:p>
    <w:p>
      <w:pPr>
        <w:pStyle w:val="13"/>
        <w:bidi w:val="0"/>
        <w:rPr>
          <w:rFonts w:hint="eastAsia"/>
          <w:lang w:val="en-US" w:eastAsia="zh-CN"/>
        </w:rPr>
      </w:pPr>
      <w:r>
        <w:rPr>
          <w:rFonts w:hint="eastAsia"/>
          <w:lang w:val="en-US" w:eastAsia="zh-CN"/>
        </w:rPr>
        <w:t>（一）贯彻执行国家生态环境基本制度。会同有关部门拟订地方生态环境政策、规划并组织实施。会同有关部门编制并监督实施重点区域、流域、饮用水水源地生态环境规划和水功能区划。</w:t>
      </w:r>
    </w:p>
    <w:p>
      <w:pPr>
        <w:pStyle w:val="13"/>
        <w:bidi w:val="0"/>
        <w:rPr>
          <w:rFonts w:hint="eastAsia"/>
          <w:lang w:val="en-US" w:eastAsia="zh-CN"/>
        </w:rPr>
      </w:pPr>
      <w:r>
        <w:rPr>
          <w:rFonts w:hint="eastAsia"/>
          <w:lang w:val="en-US" w:eastAsia="zh-CN"/>
        </w:rPr>
        <w:t>（二）负责生态环境问题的统筹协调和监督管理。组织协调环境污染事故和生态破坏事件的调查处理，以及突发生态环境事件的应急、预警工作。牵头指导实施生态环境损害赔偿制度，协调解决有关环境污染纠纷，统筹协调重点区域、流域生态环境保护工作。</w:t>
      </w:r>
    </w:p>
    <w:p>
      <w:pPr>
        <w:pStyle w:val="13"/>
        <w:bidi w:val="0"/>
        <w:rPr>
          <w:rFonts w:hint="eastAsia"/>
          <w:lang w:val="en-US" w:eastAsia="zh-CN"/>
        </w:rPr>
      </w:pPr>
      <w:r>
        <w:rPr>
          <w:rFonts w:hint="eastAsia"/>
          <w:lang w:val="en-US" w:eastAsia="zh-CN"/>
        </w:rPr>
        <w:t>（三）负责提出生态环境领域固定资产投资规模和方向、赤壁市财政性资金安排的意见，配合有关部门做好组织实施和监督工作 。</w:t>
      </w:r>
    </w:p>
    <w:p>
      <w:pPr>
        <w:pStyle w:val="13"/>
        <w:bidi w:val="0"/>
        <w:rPr>
          <w:rFonts w:hint="eastAsia"/>
          <w:lang w:val="en-US" w:eastAsia="zh-CN"/>
        </w:rPr>
      </w:pPr>
      <w:r>
        <w:rPr>
          <w:rFonts w:hint="eastAsia"/>
          <w:lang w:val="en-US" w:eastAsia="zh-CN"/>
        </w:rPr>
        <w:t>（四）负责环境污染防治的监督管理。拟订大气、水、土壤、噪声等环境管理制度及光、恶臭、固体废物、化学品以及机动车等污染防治措施并监督实施。会同有关部门监督管理饮用水水源地生态环境保护工作，组织指导城乡生态环境综合整治工作，监督指导农业面源污染治理工作。监督指导区域大气环境保护工作，组织实施区域大气污染联防联控协作机制。</w:t>
      </w:r>
    </w:p>
    <w:p>
      <w:pPr>
        <w:pStyle w:val="13"/>
        <w:bidi w:val="0"/>
        <w:rPr>
          <w:rFonts w:hint="eastAsia"/>
          <w:lang w:val="en-US" w:eastAsia="zh-CN"/>
        </w:rPr>
      </w:pPr>
      <w:r>
        <w:rPr>
          <w:rFonts w:hint="eastAsia"/>
          <w:lang w:val="en-US" w:eastAsia="zh-CN"/>
        </w:rPr>
        <w:t>（五）指导协调和监督生态保护修复工作。组织编制生态保护规划，监督对生态环境有影响的自然资源开发利用活动、重要生态环境建设和生态破坏恢复工作。组织自然保护地生态环境监督执法。监督野生动植物保护、湿地生态环境保护、荒漠化防治 等工作。指导协调和监督农村生态环境保护，监督生物技术环境安全，牵头生物物种（含遗传资源）工作，组织协调生物多样性保护工作。参与生态保护补偿工作。</w:t>
      </w:r>
    </w:p>
    <w:p>
      <w:pPr>
        <w:pStyle w:val="13"/>
        <w:bidi w:val="0"/>
        <w:rPr>
          <w:rFonts w:hint="eastAsia"/>
          <w:lang w:val="en-US" w:eastAsia="zh-CN"/>
        </w:rPr>
      </w:pPr>
      <w:r>
        <w:rPr>
          <w:rFonts w:hint="eastAsia"/>
          <w:lang w:val="en-US" w:eastAsia="zh-CN"/>
        </w:rPr>
        <w:t>（六）负责核与辐射安全的监督管理。牵头负责核安全协调机制有关工作，参与核事故应急处理，负责辐射环境事故应急处理工作。监督管理核设施和放射源安全，监督管理核技术应用、电磁辐射、伴有放射性矿产资源开发利用中的污染防治。</w:t>
      </w:r>
    </w:p>
    <w:p>
      <w:pPr>
        <w:pStyle w:val="13"/>
        <w:bidi w:val="0"/>
        <w:rPr>
          <w:rFonts w:hint="eastAsia"/>
          <w:lang w:val="en-US" w:eastAsia="zh-CN"/>
        </w:rPr>
      </w:pPr>
      <w:r>
        <w:rPr>
          <w:rFonts w:hint="eastAsia"/>
          <w:lang w:val="en-US" w:eastAsia="zh-CN"/>
        </w:rPr>
        <w:t>（七）负责减排和生态环境准入监督管理。根据市生态环境局授权、委托，按国家和省、市规定，组织落实污染物排放总量控制、排污许可证制度，监督检查污染物减排，实施生态环境保护目标责任制，审批或审查开发建设区域、规划、项目环境影响评价文件，拟订并组织实施生态环境准入清单。</w:t>
      </w:r>
    </w:p>
    <w:p>
      <w:pPr>
        <w:pStyle w:val="13"/>
        <w:bidi w:val="0"/>
        <w:rPr>
          <w:rFonts w:hint="eastAsia"/>
          <w:lang w:val="en-US" w:eastAsia="zh-CN"/>
        </w:rPr>
      </w:pPr>
      <w:r>
        <w:rPr>
          <w:rFonts w:hint="eastAsia"/>
          <w:lang w:val="en-US" w:eastAsia="zh-CN"/>
        </w:rPr>
        <w:t>（八）负责赤壁市、陆水流域生态环境监测工作。实施国家、省生态环境监测制度和规范。会同有关部门统一规划生态环境质量监测站点设置，组织实施生态环境质量监测、污染源监督性监测、温室气体减排监测、应急监测。组织开展生态环境质量状况调查评价、预警预测，组织建设和管理生态环境监测网和生态环境信息网。建立和实行生态环境质量公告制度，发布生态环境综合性报告和重大生态环境信息。</w:t>
      </w:r>
    </w:p>
    <w:p>
      <w:pPr>
        <w:pStyle w:val="13"/>
        <w:bidi w:val="0"/>
        <w:rPr>
          <w:rFonts w:hint="eastAsia"/>
          <w:lang w:val="en-US" w:eastAsia="zh-CN"/>
        </w:rPr>
      </w:pPr>
      <w:r>
        <w:rPr>
          <w:rFonts w:hint="eastAsia"/>
          <w:lang w:val="en-US" w:eastAsia="zh-CN"/>
        </w:rPr>
        <w:t>（九）负责应对气候变化工作。组织实施应对气候变化的规划和政策措施。负责落实辖区承担的国家履行联合国气候变化框架公约相关工作。</w:t>
      </w:r>
    </w:p>
    <w:p>
      <w:pPr>
        <w:pStyle w:val="13"/>
        <w:bidi w:val="0"/>
        <w:rPr>
          <w:rFonts w:hint="eastAsia"/>
          <w:lang w:val="en-US" w:eastAsia="zh-CN"/>
        </w:rPr>
      </w:pPr>
      <w:r>
        <w:rPr>
          <w:rFonts w:hint="eastAsia"/>
          <w:lang w:val="en-US" w:eastAsia="zh-CN"/>
        </w:rPr>
        <w:t>（十）配合开展生态环境保护督察整改。根据授权对乡镇办场党委和政府及有关部门贯彻落实中央和省、咸宁市、赤壁市生态环境保护决策部署情况进行督察问责。协调落实中央、省委和市委生态环境保护督察反馈意见整改工作。</w:t>
      </w:r>
    </w:p>
    <w:p>
      <w:pPr>
        <w:pStyle w:val="13"/>
        <w:bidi w:val="0"/>
        <w:rPr>
          <w:rFonts w:hint="eastAsia"/>
          <w:lang w:val="en-US" w:eastAsia="zh-CN"/>
        </w:rPr>
      </w:pPr>
      <w:r>
        <w:rPr>
          <w:rFonts w:hint="eastAsia"/>
          <w:lang w:val="en-US" w:eastAsia="zh-CN"/>
        </w:rPr>
        <w:t>（十一）负责生态环境监督执法。组织开展全市生态环境保护执法检查活动。负责辖区内生态环境违法问题的查处。负责全市生态环境保护综合执法队伍建设和业务工作。</w:t>
      </w:r>
    </w:p>
    <w:p>
      <w:pPr>
        <w:pStyle w:val="13"/>
        <w:bidi w:val="0"/>
        <w:rPr>
          <w:rFonts w:hint="eastAsia"/>
          <w:lang w:val="en-US" w:eastAsia="zh-CN"/>
        </w:rPr>
      </w:pPr>
      <w:r>
        <w:rPr>
          <w:rFonts w:hint="eastAsia"/>
          <w:lang w:val="en-US" w:eastAsia="zh-CN"/>
        </w:rPr>
        <w:t>（十二）组织开展生态环境宣传教育工作。制定并组织实施生态环境保护宣传教育计划，推动社会组织和公众参与生态环境保 护 。</w:t>
      </w:r>
    </w:p>
    <w:p>
      <w:pPr>
        <w:pStyle w:val="13"/>
        <w:bidi w:val="0"/>
        <w:rPr>
          <w:rFonts w:hint="eastAsia"/>
          <w:lang w:val="en-US" w:eastAsia="zh-CN"/>
        </w:rPr>
      </w:pPr>
      <w:r>
        <w:rPr>
          <w:rFonts w:hint="eastAsia"/>
          <w:lang w:val="en-US" w:eastAsia="zh-CN"/>
        </w:rPr>
        <w:t>（十三）开展生态环境科技和对外合作交流工作。组织生态环境科学研究和技术工程示范，推动生态环境技术管理体系建设，参与推动循环经济和生态环保产业发展。组织协调有关生态环境国际条约履约活动。</w:t>
      </w:r>
    </w:p>
    <w:p>
      <w:pPr>
        <w:pStyle w:val="13"/>
        <w:bidi w:val="0"/>
        <w:rPr>
          <w:rFonts w:hint="eastAsia"/>
          <w:lang w:val="en-US" w:eastAsia="zh-CN"/>
        </w:rPr>
      </w:pPr>
      <w:r>
        <w:rPr>
          <w:rFonts w:hint="eastAsia"/>
          <w:lang w:val="en-US" w:eastAsia="zh-CN"/>
        </w:rPr>
        <w:t>（十四）完成上级交办的其他任务。</w:t>
      </w:r>
    </w:p>
    <w:p>
      <w:pPr>
        <w:pStyle w:val="13"/>
        <w:bidi w:val="0"/>
        <w:rPr>
          <w:rFonts w:hint="eastAsia" w:ascii="仿宋_GB2312" w:hAnsi="Times New Roman" w:eastAsia="仿宋_GB2312" w:cs="仿宋_GB2312"/>
          <w:i w:val="0"/>
          <w:caps w:val="0"/>
          <w:smallCaps w:val="0"/>
          <w:color w:val="333333"/>
          <w:spacing w:val="0"/>
          <w:kern w:val="0"/>
          <w:szCs w:val="27"/>
          <w:lang w:val="en-US" w:eastAsia="zh-CN" w:bidi="ar-SA"/>
        </w:rPr>
      </w:pPr>
      <w:r>
        <w:rPr>
          <w:rFonts w:hint="eastAsia"/>
          <w:lang w:val="en-US" w:eastAsia="zh-CN"/>
        </w:rPr>
        <w:t>（十五）职能转变。市生态环境局赤壁市分局要统一行使生态和城乡各类污染排放监管与行政执法职责，切实履行监管责任，全面落实大气、水、土壤污染防治行动计划。构建政府为主导、企业为主体、社会组织和公众共同参与的生态环境治理体系，实行最严格的生态环境保护制度，严守生态保护红线和环境质量底线，坚决打好污染防治攻坚战，保障全市生态安全。</w:t>
      </w:r>
    </w:p>
    <w:p>
      <w:pPr>
        <w:pStyle w:val="2"/>
        <w:rPr>
          <w:rFonts w:hint="eastAsia"/>
          <w:lang w:val="en-US" w:eastAsia="zh-CN"/>
        </w:rPr>
      </w:pPr>
    </w:p>
    <w:p>
      <w:pPr>
        <w:pStyle w:val="12"/>
        <w:keepNext w:val="0"/>
        <w:keepLines w:val="0"/>
        <w:pageBreakBefore w:val="0"/>
        <w:kinsoku/>
        <w:wordWrap/>
        <w:overflowPunct/>
        <w:topLinePunct w:val="0"/>
        <w:autoSpaceDE/>
        <w:autoSpaceDN/>
        <w:bidi w:val="0"/>
        <w:adjustRightInd/>
        <w:snapToGrid/>
        <w:spacing w:line="480" w:lineRule="exact"/>
        <w:ind w:left="0" w:leftChars="0" w:firstLine="643" w:firstLineChars="200"/>
        <w:jc w:val="left"/>
        <w:textAlignment w:val="auto"/>
        <w:rPr>
          <w:rFonts w:hint="eastAsia" w:ascii="楷体_GB2312" w:hAnsi="楷体_GB2312" w:eastAsia="楷体_GB2312" w:cs="楷体_GB2312"/>
          <w:b/>
          <w:bCs/>
          <w:i w:val="0"/>
          <w:caps w:val="0"/>
          <w:color w:val="333333"/>
          <w:spacing w:val="0"/>
          <w:kern w:val="0"/>
          <w:sz w:val="32"/>
          <w:szCs w:val="32"/>
          <w:lang w:val="en-US" w:eastAsia="zh-CN" w:bidi="ar"/>
        </w:rPr>
      </w:pPr>
      <w:r>
        <w:rPr>
          <w:rFonts w:hint="eastAsia" w:ascii="楷体_GB2312" w:hAnsi="楷体_GB2312" w:eastAsia="楷体_GB2312" w:cs="楷体_GB2312"/>
          <w:b/>
          <w:bCs/>
          <w:i w:val="0"/>
          <w:caps w:val="0"/>
          <w:color w:val="333333"/>
          <w:spacing w:val="0"/>
          <w:kern w:val="0"/>
          <w:sz w:val="32"/>
          <w:szCs w:val="32"/>
          <w:lang w:val="en-US" w:eastAsia="zh-CN" w:bidi="ar"/>
        </w:rPr>
        <w:t>二、机构设置</w:t>
      </w:r>
    </w:p>
    <w:p>
      <w:pPr>
        <w:pStyle w:val="13"/>
        <w:bidi w:val="0"/>
        <w:rPr>
          <w:rFonts w:hint="eastAsia"/>
          <w:lang w:val="en-US" w:eastAsia="zh-CN"/>
        </w:rPr>
      </w:pPr>
      <w:r>
        <w:rPr>
          <w:rFonts w:hint="eastAsia"/>
          <w:lang w:val="en-US" w:eastAsia="zh-CN"/>
        </w:rPr>
        <w:t>咸宁市生态环境局赤壁市分局机关内设 4 个职能股（室）。</w:t>
      </w:r>
    </w:p>
    <w:p>
      <w:pPr>
        <w:pStyle w:val="13"/>
        <w:bidi w:val="0"/>
        <w:rPr>
          <w:rFonts w:hint="eastAsia"/>
          <w:lang w:val="en-US" w:eastAsia="zh-CN"/>
        </w:rPr>
      </w:pPr>
      <w:r>
        <w:rPr>
          <w:rFonts w:hint="eastAsia"/>
          <w:lang w:val="en-US" w:eastAsia="zh-CN"/>
        </w:rPr>
        <w:t xml:space="preserve">（一）办公室 </w:t>
      </w:r>
    </w:p>
    <w:p>
      <w:pPr>
        <w:pStyle w:val="13"/>
        <w:bidi w:val="0"/>
        <w:rPr>
          <w:rFonts w:hint="eastAsia"/>
          <w:lang w:val="en-US" w:eastAsia="zh-CN"/>
        </w:rPr>
      </w:pPr>
      <w:r>
        <w:rPr>
          <w:rFonts w:hint="eastAsia"/>
          <w:lang w:val="en-US" w:eastAsia="zh-CN"/>
        </w:rPr>
        <w:t>（二）综合股</w:t>
      </w:r>
    </w:p>
    <w:p>
      <w:pPr>
        <w:pStyle w:val="13"/>
        <w:bidi w:val="0"/>
        <w:rPr>
          <w:rFonts w:hint="eastAsia"/>
          <w:lang w:val="en-US" w:eastAsia="zh-CN"/>
        </w:rPr>
      </w:pPr>
      <w:r>
        <w:rPr>
          <w:rFonts w:hint="eastAsia"/>
          <w:lang w:val="en-US" w:eastAsia="zh-CN"/>
        </w:rPr>
        <w:t>（三）自然生态股</w:t>
      </w:r>
    </w:p>
    <w:p>
      <w:pPr>
        <w:pStyle w:val="13"/>
        <w:bidi w:val="0"/>
        <w:rPr>
          <w:rFonts w:hint="eastAsia"/>
          <w:lang w:val="en-US" w:eastAsia="zh-CN"/>
        </w:rPr>
      </w:pPr>
      <w:r>
        <w:rPr>
          <w:rFonts w:hint="eastAsia"/>
          <w:lang w:val="en-US" w:eastAsia="zh-CN"/>
        </w:rPr>
        <w:t>（四）污染防治股</w:t>
      </w:r>
    </w:p>
    <w:p>
      <w:pPr>
        <w:pStyle w:val="13"/>
        <w:bidi w:val="0"/>
        <w:rPr>
          <w:rFonts w:hint="eastAsia"/>
          <w:lang w:val="en-US" w:eastAsia="zh-CN"/>
        </w:rPr>
      </w:pPr>
      <w:r>
        <w:rPr>
          <w:rFonts w:hint="eastAsia"/>
          <w:lang w:val="en-US" w:eastAsia="zh-CN"/>
        </w:rPr>
        <w:t>另设机关党总支</w:t>
      </w:r>
    </w:p>
    <w:p>
      <w:pPr>
        <w:pStyle w:val="13"/>
        <w:bidi w:val="0"/>
        <w:rPr>
          <w:rFonts w:hint="eastAsia"/>
          <w:lang w:val="en-US" w:eastAsia="zh-CN"/>
        </w:rPr>
      </w:pPr>
      <w:r>
        <w:rPr>
          <w:rFonts w:hint="eastAsia"/>
          <w:lang w:val="en-US" w:eastAsia="zh-CN"/>
        </w:rPr>
        <w:t>从预算单位构成看，本部门预算包括：咸宁市生态环境局赤壁市分局局机关及赤壁市生态环境保护综合执法大队、赤壁市生态环境监测站、赤壁市生态环境应急服务与信息化中心3个二级预算单位。</w:t>
      </w:r>
    </w:p>
    <w:p>
      <w:pPr>
        <w:pStyle w:val="13"/>
        <w:bidi w:val="0"/>
        <w:rPr>
          <w:rFonts w:hint="eastAsia"/>
          <w:lang w:val="en-US" w:eastAsia="zh-CN"/>
        </w:rPr>
      </w:pPr>
    </w:p>
    <w:p>
      <w:pPr>
        <w:pStyle w:val="13"/>
        <w:bidi w:val="0"/>
        <w:rPr>
          <w:rFonts w:hint="eastAsia"/>
          <w:lang w:val="en-US" w:eastAsia="zh-CN"/>
        </w:rPr>
      </w:pPr>
    </w:p>
    <w:p>
      <w:pPr>
        <w:pStyle w:val="12"/>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楷体_GB2312" w:hAnsi="楷体_GB2312" w:eastAsia="楷体_GB2312" w:cs="楷体_GB2312"/>
          <w:b/>
          <w:bCs/>
          <w:i w:val="0"/>
          <w:caps w:val="0"/>
          <w:color w:val="333333"/>
          <w:spacing w:val="0"/>
          <w:kern w:val="0"/>
          <w:sz w:val="32"/>
          <w:szCs w:val="32"/>
          <w:lang w:val="en-US" w:eastAsia="zh-CN" w:bidi="ar"/>
        </w:rPr>
      </w:pPr>
      <w:r>
        <w:rPr>
          <w:rFonts w:hint="eastAsia" w:ascii="楷体_GB2312" w:hAnsi="楷体_GB2312" w:eastAsia="楷体_GB2312" w:cs="楷体_GB2312"/>
          <w:b/>
          <w:bCs/>
          <w:i w:val="0"/>
          <w:caps w:val="0"/>
          <w:color w:val="333333"/>
          <w:spacing w:val="0"/>
          <w:kern w:val="0"/>
          <w:sz w:val="32"/>
          <w:szCs w:val="32"/>
          <w:lang w:val="en-US" w:eastAsia="zh-CN" w:bidi="ar"/>
        </w:rPr>
        <w:t>三、2024年度主要工作任务及目标</w:t>
      </w:r>
    </w:p>
    <w:p>
      <w:pPr>
        <w:pStyle w:val="12"/>
        <w:keepNext w:val="0"/>
        <w:keepLines w:val="0"/>
        <w:pageBreakBefore w:val="0"/>
        <w:kinsoku/>
        <w:wordWrap/>
        <w:overflowPunct/>
        <w:topLinePunct w:val="0"/>
        <w:autoSpaceDE/>
        <w:autoSpaceDN/>
        <w:bidi w:val="0"/>
        <w:adjustRightInd/>
        <w:snapToGrid/>
        <w:spacing w:line="500" w:lineRule="exact"/>
        <w:ind w:left="0" w:leftChars="0" w:firstLine="0" w:firstLineChars="0"/>
        <w:jc w:val="left"/>
        <w:textAlignment w:val="auto"/>
        <w:rPr>
          <w:rFonts w:hint="eastAsia" w:ascii="楷体_GB2312" w:hAnsi="楷体_GB2312" w:eastAsia="楷体_GB2312" w:cs="楷体_GB2312"/>
          <w:b/>
          <w:bCs/>
          <w:i w:val="0"/>
          <w:caps w:val="0"/>
          <w:color w:val="333333"/>
          <w:spacing w:val="0"/>
          <w:kern w:val="0"/>
          <w:sz w:val="32"/>
          <w:szCs w:val="32"/>
          <w:lang w:val="en-US" w:eastAsia="zh-CN" w:bidi="ar"/>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542" w:firstLineChars="200"/>
        <w:jc w:val="both"/>
        <w:textAlignment w:val="auto"/>
        <w:rPr>
          <w:rFonts w:hint="eastAsia" w:ascii="仿宋_GB2312" w:hAnsi="Times New Roman" w:eastAsia="仿宋_GB2312" w:cs="仿宋_GB2312"/>
          <w:b/>
          <w:bCs/>
          <w:i w:val="0"/>
          <w:caps w:val="0"/>
          <w:smallCaps w:val="0"/>
          <w:color w:val="333333"/>
          <w:spacing w:val="0"/>
          <w:kern w:val="0"/>
          <w:sz w:val="27"/>
          <w:szCs w:val="27"/>
          <w:lang w:val="en-US" w:eastAsia="zh-CN" w:bidi="ar-SA"/>
        </w:rPr>
      </w:pPr>
      <w:r>
        <w:rPr>
          <w:rFonts w:hint="eastAsia" w:ascii="仿宋_GB2312" w:hAnsi="Times New Roman" w:eastAsia="仿宋_GB2312" w:cs="仿宋_GB2312"/>
          <w:b/>
          <w:bCs/>
          <w:i w:val="0"/>
          <w:caps w:val="0"/>
          <w:smallCaps w:val="0"/>
          <w:color w:val="333333"/>
          <w:spacing w:val="0"/>
          <w:kern w:val="0"/>
          <w:sz w:val="27"/>
          <w:szCs w:val="27"/>
          <w:lang w:val="en-US" w:eastAsia="zh-CN" w:bidi="ar-SA"/>
        </w:rPr>
        <w:t>（一）做好第二轮省级环保督察反馈问题整改工作。</w:t>
      </w:r>
    </w:p>
    <w:p>
      <w:pPr>
        <w:pStyle w:val="13"/>
        <w:bidi w:val="0"/>
        <w:rPr>
          <w:rFonts w:hint="eastAsia"/>
          <w:lang w:val="en-US" w:eastAsia="zh-CN"/>
        </w:rPr>
      </w:pPr>
      <w:r>
        <w:rPr>
          <w:rFonts w:hint="eastAsia"/>
          <w:lang w:val="en-US" w:eastAsia="zh-CN"/>
        </w:rPr>
        <w:t>一是充分发挥市生态文明建设指挥部作用，对存量环境问题，坚持常态调度，督办通报，推动问题整改销号；二是抓好反馈问题整改，按要求制定整改方案，确保高标准完成整改销号工作；三是以反馈问题整改销号为契机，举一反三，开展全市突出环境问题大整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542" w:firstLineChars="200"/>
        <w:jc w:val="left"/>
        <w:textAlignment w:val="auto"/>
        <w:rPr>
          <w:rFonts w:hint="eastAsia" w:ascii="仿宋_GB2312" w:hAnsi="Times New Roman" w:eastAsia="仿宋_GB2312" w:cs="仿宋_GB2312"/>
          <w:i w:val="0"/>
          <w:caps w:val="0"/>
          <w:smallCaps w:val="0"/>
          <w:color w:val="333333"/>
          <w:spacing w:val="0"/>
          <w:kern w:val="0"/>
          <w:sz w:val="27"/>
          <w:szCs w:val="27"/>
          <w:lang w:val="en-US" w:eastAsia="zh-CN" w:bidi="ar-SA"/>
        </w:rPr>
      </w:pPr>
      <w:r>
        <w:rPr>
          <w:rFonts w:hint="eastAsia" w:ascii="仿宋_GB2312" w:hAnsi="Times New Roman" w:eastAsia="仿宋_GB2312" w:cs="仿宋_GB2312"/>
          <w:b/>
          <w:bCs/>
          <w:i w:val="0"/>
          <w:caps w:val="0"/>
          <w:smallCaps w:val="0"/>
          <w:color w:val="333333"/>
          <w:spacing w:val="0"/>
          <w:kern w:val="0"/>
          <w:sz w:val="27"/>
          <w:szCs w:val="27"/>
          <w:lang w:val="en-US" w:eastAsia="zh-CN" w:bidi="ar-SA"/>
        </w:rPr>
        <w:t>（二）稳步推进小流域综合治理试点工作。</w:t>
      </w:r>
    </w:p>
    <w:p>
      <w:pPr>
        <w:pStyle w:val="13"/>
        <w:bidi w:val="0"/>
        <w:rPr>
          <w:rFonts w:hint="eastAsia"/>
          <w:lang w:val="en-US" w:eastAsia="zh-CN"/>
        </w:rPr>
      </w:pPr>
      <w:r>
        <w:rPr>
          <w:rFonts w:hint="eastAsia"/>
          <w:lang w:val="en-US" w:eastAsia="zh-CN"/>
        </w:rPr>
        <w:t>按照省委、省政府要求，组成专班，安排专人，制定并完善治理方案，明确各部门职责，迅速开展人员培训、项目计划、初步规划、近期项目库确认等工作，形成整体规划成果并迅速认真组织实施，率先探索可复制、能推广的试点经验。</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542" w:firstLineChars="200"/>
        <w:jc w:val="left"/>
        <w:textAlignment w:val="auto"/>
        <w:rPr>
          <w:rFonts w:hint="eastAsia" w:ascii="仿宋_GB2312" w:hAnsi="Times New Roman" w:eastAsia="仿宋_GB2312" w:cs="仿宋_GB2312"/>
          <w:b/>
          <w:bCs/>
          <w:i w:val="0"/>
          <w:caps w:val="0"/>
          <w:smallCaps w:val="0"/>
          <w:color w:val="333333"/>
          <w:spacing w:val="0"/>
          <w:kern w:val="0"/>
          <w:sz w:val="27"/>
          <w:szCs w:val="27"/>
          <w:lang w:val="en-US" w:eastAsia="zh-CN" w:bidi="ar-SA"/>
        </w:rPr>
      </w:pPr>
      <w:r>
        <w:rPr>
          <w:rFonts w:hint="eastAsia" w:ascii="仿宋_GB2312" w:hAnsi="Times New Roman" w:eastAsia="仿宋_GB2312" w:cs="仿宋_GB2312"/>
          <w:b/>
          <w:bCs/>
          <w:i w:val="0"/>
          <w:caps w:val="0"/>
          <w:smallCaps w:val="0"/>
          <w:color w:val="333333"/>
          <w:spacing w:val="0"/>
          <w:kern w:val="0"/>
          <w:sz w:val="27"/>
          <w:szCs w:val="27"/>
          <w:lang w:val="en-US" w:eastAsia="zh-CN" w:bidi="ar-SA"/>
        </w:rPr>
        <w:t>（三）对标对表，全面完成年度环境质量目标任务。</w:t>
      </w:r>
    </w:p>
    <w:p>
      <w:pPr>
        <w:pStyle w:val="13"/>
        <w:bidi w:val="0"/>
        <w:rPr>
          <w:rFonts w:hint="eastAsia"/>
          <w:lang w:val="en-US" w:eastAsia="zh-CN"/>
        </w:rPr>
      </w:pPr>
      <w:r>
        <w:rPr>
          <w:rFonts w:hint="eastAsia"/>
          <w:lang w:val="en-US" w:eastAsia="zh-CN"/>
        </w:rPr>
        <w:t>1、深入打好蓝天保卫战。做好高温天气臭氧污染防治，以涂装、医药、包装印刷和油品储运销等行业领域为重点，提高挥发性有机物收集处置率。配合有关部门制定并落实碳达峰工作，落实“十四五”噪声污染防治行动计划，推进声环境功能区划分与调整常态化，做好声环境功能区自动监测工作。</w:t>
      </w:r>
    </w:p>
    <w:p>
      <w:pPr>
        <w:pStyle w:val="13"/>
        <w:bidi w:val="0"/>
        <w:rPr>
          <w:rFonts w:hint="eastAsia"/>
          <w:lang w:val="en-US" w:eastAsia="zh-CN"/>
        </w:rPr>
      </w:pPr>
      <w:r>
        <w:rPr>
          <w:rFonts w:hint="eastAsia"/>
          <w:lang w:val="en-US" w:eastAsia="zh-CN"/>
        </w:rPr>
        <w:t xml:space="preserve"> 2、深入打好碧水保卫战。加快推进重点流域入河（湖）排污口专项整治工作；持续开展 173个河湖库水质监测预警；强化地表水水环境质量监测；开展水环境综合治理和生态修复，持续改善重点河湖库水生态环境质量；每季度通报陆水河、黄盖湖、西凉湖流域问题清单完成情况，确保市控及以上断面水质达标率 100%。</w:t>
      </w:r>
    </w:p>
    <w:p>
      <w:pPr>
        <w:pStyle w:val="13"/>
        <w:bidi w:val="0"/>
        <w:rPr>
          <w:rFonts w:hint="eastAsia" w:ascii="仿宋_GB2312" w:hAnsi="Times New Roman" w:eastAsia="仿宋_GB2312" w:cs="仿宋_GB2312"/>
          <w:i w:val="0"/>
          <w:caps w:val="0"/>
          <w:smallCaps w:val="0"/>
          <w:color w:val="333333"/>
          <w:spacing w:val="0"/>
          <w:kern w:val="0"/>
          <w:szCs w:val="27"/>
          <w:lang w:val="en-US" w:eastAsia="zh-CN" w:bidi="ar-SA"/>
        </w:rPr>
      </w:pPr>
      <w:r>
        <w:rPr>
          <w:rFonts w:hint="eastAsia"/>
          <w:lang w:val="en-US" w:eastAsia="zh-CN"/>
        </w:rPr>
        <w:t>3、深入打好净土保卫战。统筹推进农村环境整治和农村生活污水治理，完成 8 条农村黑臭水体整治任务；加强规模畜禽养殖污染防治统一监管和信访调处；积极开展禁塑工作；持续开展污染源周边地下水环境状况调查评估，推进赤壁市地下水污染防治与修复项目建设；会同相关部门推动大宗工业固废废物综合利用，强化工业固废堆存场所环境整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40"/>
        <w:jc w:val="left"/>
        <w:textAlignment w:val="auto"/>
        <w:rPr>
          <w:rFonts w:hint="eastAsia" w:ascii="仿宋_GB2312" w:hAnsi="Times New Roman" w:eastAsia="仿宋_GB2312" w:cs="仿宋_GB2312"/>
          <w:i w:val="0"/>
          <w:caps w:val="0"/>
          <w:smallCaps w:val="0"/>
          <w:color w:val="333333"/>
          <w:spacing w:val="0"/>
          <w:kern w:val="0"/>
          <w:sz w:val="27"/>
          <w:szCs w:val="27"/>
          <w:lang w:val="en-US" w:eastAsia="zh-CN" w:bidi="ar-SA"/>
        </w:rPr>
      </w:pPr>
      <w:r>
        <w:rPr>
          <w:rFonts w:hint="eastAsia" w:ascii="仿宋_GB2312" w:hAnsi="Times New Roman" w:eastAsia="仿宋_GB2312" w:cs="仿宋_GB2312"/>
          <w:b/>
          <w:bCs/>
          <w:i w:val="0"/>
          <w:caps w:val="0"/>
          <w:smallCaps w:val="0"/>
          <w:color w:val="333333"/>
          <w:spacing w:val="0"/>
          <w:kern w:val="0"/>
          <w:sz w:val="27"/>
          <w:szCs w:val="27"/>
          <w:lang w:val="en-US" w:eastAsia="zh-CN" w:bidi="ar-SA"/>
        </w:rPr>
        <w:t>（四）全面从严治党，打造环保铁军。</w:t>
      </w:r>
    </w:p>
    <w:p>
      <w:pPr>
        <w:pStyle w:val="13"/>
        <w:bidi w:val="0"/>
        <w:rPr>
          <w:rFonts w:hint="eastAsia"/>
          <w:lang w:val="en-US" w:eastAsia="zh-CN"/>
        </w:rPr>
      </w:pPr>
      <w:r>
        <w:rPr>
          <w:rFonts w:hint="eastAsia"/>
          <w:lang w:val="en-US" w:eastAsia="zh-CN"/>
        </w:rPr>
        <w:t>一是提高政治站位，深入学习贯彻新时代中国特色社会主义思想。二是围绕“学、比、帮”三个字，全面加强执法队伍建设。三是落实“一岗双责”，全面从严治党。四是加强作风建设，创建清廉环保机关。</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40"/>
        <w:jc w:val="left"/>
        <w:textAlignment w:val="auto"/>
        <w:rPr>
          <w:rFonts w:hint="eastAsia" w:ascii="仿宋_GB2312" w:hAnsi="Times New Roman" w:eastAsia="仿宋_GB2312" w:cs="仿宋_GB2312"/>
          <w:i w:val="0"/>
          <w:caps w:val="0"/>
          <w:smallCaps w:val="0"/>
          <w:color w:val="333333"/>
          <w:spacing w:val="0"/>
          <w:kern w:val="0"/>
          <w:sz w:val="27"/>
          <w:szCs w:val="27"/>
          <w:lang w:val="en-US" w:eastAsia="zh-CN" w:bidi="ar-SA"/>
        </w:rPr>
      </w:pPr>
    </w:p>
    <w:p>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黑体" w:hAnsi="黑体" w:eastAsia="黑体" w:cs="黑体"/>
          <w:i w:val="0"/>
          <w:caps w:val="0"/>
          <w:color w:val="333333"/>
          <w:spacing w:val="0"/>
          <w:kern w:val="0"/>
          <w:sz w:val="36"/>
          <w:szCs w:val="36"/>
          <w:lang w:val="en-US" w:eastAsia="zh-CN" w:bidi="ar"/>
        </w:rPr>
      </w:pPr>
      <w:r>
        <w:rPr>
          <w:rFonts w:hint="eastAsia" w:ascii="黑体" w:hAnsi="黑体" w:eastAsia="黑体" w:cs="黑体"/>
          <w:i w:val="0"/>
          <w:caps w:val="0"/>
          <w:color w:val="333333"/>
          <w:spacing w:val="0"/>
          <w:kern w:val="0"/>
          <w:sz w:val="36"/>
          <w:szCs w:val="36"/>
          <w:lang w:val="en-US" w:eastAsia="zh-CN" w:bidi="ar"/>
        </w:rPr>
        <w:t>2024年部门预算表</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Chars="0" w:right="0" w:rightChars="0"/>
        <w:jc w:val="both"/>
        <w:textAlignment w:val="auto"/>
        <w:rPr>
          <w:rFonts w:hint="eastAsia" w:ascii="黑体" w:hAnsi="黑体" w:eastAsia="黑体" w:cs="黑体"/>
          <w:i w:val="0"/>
          <w:caps w:val="0"/>
          <w:color w:val="333333"/>
          <w:spacing w:val="0"/>
          <w:kern w:val="0"/>
          <w:sz w:val="36"/>
          <w:szCs w:val="36"/>
          <w:lang w:val="en-US" w:eastAsia="zh-CN" w:bidi="ar"/>
        </w:rPr>
      </w:pPr>
    </w:p>
    <w:p>
      <w:pPr>
        <w:pStyle w:val="13"/>
        <w:bidi w:val="0"/>
        <w:rPr>
          <w:rFonts w:hint="eastAsia"/>
          <w:lang w:eastAsia="zh-CN"/>
        </w:rPr>
      </w:pPr>
      <w:r>
        <w:rPr>
          <w:rFonts w:hint="eastAsia"/>
          <w:lang w:eastAsia="zh-CN"/>
        </w:rPr>
        <w:t>（一）部门收支总表。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40" w:firstLineChars="200"/>
        <w:jc w:val="both"/>
        <w:textAlignment w:val="auto"/>
        <w:rPr>
          <w:rFonts w:hint="eastAsia" w:ascii="仿宋_GB2312" w:hAnsi="仿宋_GB2312" w:eastAsia="仿宋_GB2312" w:cs="仿宋_GB2312"/>
          <w:i w:val="0"/>
          <w:caps w:val="0"/>
          <w:color w:val="333333"/>
          <w:spacing w:val="0"/>
          <w:sz w:val="27"/>
          <w:szCs w:val="27"/>
          <w:lang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_GB2312" w:hAnsi="仿宋_GB2312" w:eastAsia="仿宋_GB2312" w:cs="仿宋_GB2312"/>
          <w:i w:val="0"/>
          <w:caps w:val="0"/>
          <w:color w:val="333333"/>
          <w:spacing w:val="0"/>
          <w:sz w:val="27"/>
          <w:szCs w:val="27"/>
          <w:lang w:eastAsia="zh-CN"/>
        </w:rPr>
      </w:pPr>
      <w:r>
        <w:rPr>
          <w:rFonts w:hint="eastAsia" w:ascii="仿宋_GB2312" w:hAnsi="仿宋_GB2312" w:eastAsia="仿宋_GB2312" w:cs="仿宋_GB2312"/>
          <w:i w:val="0"/>
          <w:caps w:val="0"/>
          <w:color w:val="333333"/>
          <w:spacing w:val="0"/>
          <w:sz w:val="27"/>
          <w:szCs w:val="27"/>
          <w:lang w:eastAsia="zh-CN"/>
        </w:rPr>
        <w:drawing>
          <wp:inline distT="0" distB="0" distL="114300" distR="114300">
            <wp:extent cx="5266690" cy="4358005"/>
            <wp:effectExtent l="0" t="0" r="10160" b="4445"/>
            <wp:docPr id="8" name="图片 8" descr="1、收支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收支总表"/>
                    <pic:cNvPicPr>
                      <a:picLocks noChangeAspect="1"/>
                    </pic:cNvPicPr>
                  </pic:nvPicPr>
                  <pic:blipFill>
                    <a:blip r:embed="rId6"/>
                    <a:stretch>
                      <a:fillRect/>
                    </a:stretch>
                  </pic:blipFill>
                  <pic:spPr>
                    <a:xfrm>
                      <a:off x="0" y="0"/>
                      <a:ext cx="5266690" cy="4358005"/>
                    </a:xfrm>
                    <a:prstGeom prst="rect">
                      <a:avLst/>
                    </a:prstGeom>
                  </pic:spPr>
                </pic:pic>
              </a:graphicData>
            </a:graphic>
          </wp:inline>
        </w:drawing>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40" w:firstLineChars="200"/>
        <w:jc w:val="both"/>
        <w:textAlignment w:val="auto"/>
        <w:rPr>
          <w:rFonts w:hint="eastAsia" w:ascii="仿宋_GB2312" w:hAnsi="仿宋_GB2312" w:eastAsia="仿宋_GB2312" w:cs="仿宋_GB2312"/>
          <w:i w:val="0"/>
          <w:caps w:val="0"/>
          <w:color w:val="333333"/>
          <w:spacing w:val="0"/>
          <w:sz w:val="27"/>
          <w:szCs w:val="27"/>
          <w:lang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40" w:firstLineChars="200"/>
        <w:jc w:val="both"/>
        <w:textAlignment w:val="auto"/>
        <w:rPr>
          <w:rFonts w:hint="eastAsia" w:ascii="仿宋_GB2312" w:hAnsi="仿宋_GB2312" w:eastAsia="仿宋_GB2312" w:cs="仿宋_GB2312"/>
          <w:i w:val="0"/>
          <w:caps w:val="0"/>
          <w:color w:val="333333"/>
          <w:spacing w:val="0"/>
          <w:sz w:val="27"/>
          <w:szCs w:val="27"/>
          <w:lang w:eastAsia="zh-CN"/>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jc w:val="both"/>
        <w:textAlignment w:val="auto"/>
        <w:rPr>
          <w:rFonts w:hint="eastAsia" w:ascii="仿宋_GB2312" w:hAnsi="仿宋_GB2312" w:eastAsia="仿宋_GB2312" w:cs="仿宋_GB2312"/>
          <w:i w:val="0"/>
          <w:caps w:val="0"/>
          <w:color w:val="333333"/>
          <w:spacing w:val="0"/>
          <w:sz w:val="27"/>
          <w:szCs w:val="27"/>
          <w:lang w:eastAsia="zh-CN"/>
        </w:rPr>
      </w:pPr>
    </w:p>
    <w:p>
      <w:pPr>
        <w:pStyle w:val="13"/>
        <w:numPr>
          <w:ilvl w:val="0"/>
          <w:numId w:val="2"/>
        </w:numPr>
        <w:bidi w:val="0"/>
        <w:rPr>
          <w:rFonts w:hint="eastAsia"/>
          <w:lang w:eastAsia="zh-CN"/>
        </w:rPr>
      </w:pPr>
      <w:r>
        <w:rPr>
          <w:rFonts w:hint="eastAsia"/>
          <w:lang w:eastAsia="zh-CN"/>
        </w:rPr>
        <w:t>部门收入总表。</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r>
        <w:rPr>
          <w:rFonts w:hint="eastAsia" w:ascii="仿宋_GB2312" w:hAnsi="仿宋_GB2312" w:eastAsia="仿宋_GB2312" w:cs="仿宋_GB2312"/>
          <w:i w:val="0"/>
          <w:caps w:val="0"/>
          <w:color w:val="333333"/>
          <w:spacing w:val="0"/>
          <w:sz w:val="27"/>
          <w:szCs w:val="27"/>
          <w:lang w:eastAsia="zh-CN"/>
        </w:rPr>
        <w:drawing>
          <wp:inline distT="0" distB="0" distL="114300" distR="114300">
            <wp:extent cx="5267960" cy="1589405"/>
            <wp:effectExtent l="0" t="0" r="8890" b="10795"/>
            <wp:docPr id="9" name="图片 9" descr="2、收入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2、收入总表"/>
                    <pic:cNvPicPr>
                      <a:picLocks noChangeAspect="1"/>
                    </pic:cNvPicPr>
                  </pic:nvPicPr>
                  <pic:blipFill>
                    <a:blip r:embed="rId7"/>
                    <a:stretch>
                      <a:fillRect/>
                    </a:stretch>
                  </pic:blipFill>
                  <pic:spPr>
                    <a:xfrm>
                      <a:off x="0" y="0"/>
                      <a:ext cx="5267960" cy="1589405"/>
                    </a:xfrm>
                    <a:prstGeom prst="rect">
                      <a:avLst/>
                    </a:prstGeom>
                  </pic:spPr>
                </pic:pic>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13"/>
        <w:numPr>
          <w:ilvl w:val="0"/>
          <w:numId w:val="2"/>
        </w:numPr>
        <w:bidi w:val="0"/>
        <w:rPr>
          <w:rFonts w:hint="eastAsia"/>
          <w:lang w:eastAsia="zh-CN"/>
        </w:rPr>
      </w:pPr>
      <w:r>
        <w:rPr>
          <w:rFonts w:hint="eastAsia"/>
          <w:lang w:eastAsia="zh-CN"/>
        </w:rPr>
        <w:t>部门支出总表。</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r>
        <w:rPr>
          <w:rFonts w:hint="eastAsia" w:ascii="仿宋_GB2312" w:hAnsi="仿宋_GB2312" w:eastAsia="仿宋_GB2312" w:cs="仿宋_GB2312"/>
          <w:i w:val="0"/>
          <w:caps w:val="0"/>
          <w:color w:val="333333"/>
          <w:spacing w:val="0"/>
          <w:sz w:val="27"/>
          <w:szCs w:val="27"/>
          <w:lang w:eastAsia="zh-CN"/>
        </w:rPr>
        <w:drawing>
          <wp:inline distT="0" distB="0" distL="114300" distR="114300">
            <wp:extent cx="5271135" cy="7647305"/>
            <wp:effectExtent l="0" t="0" r="5715" b="10795"/>
            <wp:docPr id="10" name="图片 10" descr="3、支出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支出总表"/>
                    <pic:cNvPicPr>
                      <a:picLocks noChangeAspect="1"/>
                    </pic:cNvPicPr>
                  </pic:nvPicPr>
                  <pic:blipFill>
                    <a:blip r:embed="rId8"/>
                    <a:stretch>
                      <a:fillRect/>
                    </a:stretch>
                  </pic:blipFill>
                  <pic:spPr>
                    <a:xfrm>
                      <a:off x="0" y="0"/>
                      <a:ext cx="5271135" cy="7647305"/>
                    </a:xfrm>
                    <a:prstGeom prst="rect">
                      <a:avLst/>
                    </a:prstGeom>
                  </pic:spPr>
                </pic:pic>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13"/>
        <w:numPr>
          <w:ilvl w:val="0"/>
          <w:numId w:val="2"/>
        </w:numPr>
        <w:bidi w:val="0"/>
        <w:rPr>
          <w:rFonts w:hint="eastAsia"/>
          <w:lang w:eastAsia="zh-CN"/>
        </w:rPr>
      </w:pPr>
      <w:r>
        <w:rPr>
          <w:rFonts w:hint="eastAsia"/>
          <w:lang w:eastAsia="zh-CN"/>
        </w:rPr>
        <w:t>财财政拨款收支总表。</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r>
        <w:rPr>
          <w:rFonts w:hint="eastAsia" w:ascii="仿宋_GB2312" w:hAnsi="仿宋_GB2312" w:eastAsia="仿宋_GB2312" w:cs="仿宋_GB2312"/>
          <w:i w:val="0"/>
          <w:caps w:val="0"/>
          <w:color w:val="333333"/>
          <w:spacing w:val="0"/>
          <w:sz w:val="27"/>
          <w:szCs w:val="27"/>
          <w:lang w:eastAsia="zh-CN"/>
        </w:rPr>
        <w:drawing>
          <wp:inline distT="0" distB="0" distL="114300" distR="114300">
            <wp:extent cx="5268595" cy="4604385"/>
            <wp:effectExtent l="0" t="0" r="8255" b="5715"/>
            <wp:docPr id="11" name="图片 11" descr="4、财政拨款收支总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财政拨款收支总表"/>
                    <pic:cNvPicPr>
                      <a:picLocks noChangeAspect="1"/>
                    </pic:cNvPicPr>
                  </pic:nvPicPr>
                  <pic:blipFill>
                    <a:blip r:embed="rId9"/>
                    <a:stretch>
                      <a:fillRect/>
                    </a:stretch>
                  </pic:blipFill>
                  <pic:spPr>
                    <a:xfrm>
                      <a:off x="0" y="0"/>
                      <a:ext cx="5268595" cy="4604385"/>
                    </a:xfrm>
                    <a:prstGeom prst="rect">
                      <a:avLst/>
                    </a:prstGeom>
                  </pic:spPr>
                </pic:pic>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13"/>
        <w:numPr>
          <w:ilvl w:val="0"/>
          <w:numId w:val="2"/>
        </w:numPr>
        <w:bidi w:val="0"/>
        <w:rPr>
          <w:rFonts w:hint="eastAsia"/>
          <w:lang w:eastAsia="zh-CN"/>
        </w:rPr>
      </w:pPr>
      <w:r>
        <w:rPr>
          <w:rFonts w:hint="eastAsia"/>
          <w:lang w:eastAsia="zh-CN"/>
        </w:rPr>
        <w:t>一般公共预算支出表。按功能科目到项级。</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r>
        <w:rPr>
          <w:rFonts w:hint="eastAsia" w:ascii="仿宋_GB2312" w:hAnsi="仿宋_GB2312" w:eastAsia="仿宋_GB2312" w:cs="仿宋_GB2312"/>
          <w:i w:val="0"/>
          <w:caps w:val="0"/>
          <w:color w:val="333333"/>
          <w:spacing w:val="0"/>
          <w:sz w:val="27"/>
          <w:szCs w:val="27"/>
          <w:lang w:eastAsia="zh-CN"/>
        </w:rPr>
        <w:drawing>
          <wp:inline distT="0" distB="0" distL="114300" distR="114300">
            <wp:extent cx="5267325" cy="7310120"/>
            <wp:effectExtent l="0" t="0" r="9525" b="5080"/>
            <wp:docPr id="12" name="图片 12" descr="5-1.一般公共预算支出表(分功能科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5-1.一般公共预算支出表(分功能科目)"/>
                    <pic:cNvPicPr>
                      <a:picLocks noChangeAspect="1"/>
                    </pic:cNvPicPr>
                  </pic:nvPicPr>
                  <pic:blipFill>
                    <a:blip r:embed="rId10"/>
                    <a:stretch>
                      <a:fillRect/>
                    </a:stretch>
                  </pic:blipFill>
                  <pic:spPr>
                    <a:xfrm>
                      <a:off x="0" y="0"/>
                      <a:ext cx="5267325" cy="7310120"/>
                    </a:xfrm>
                    <a:prstGeom prst="rect">
                      <a:avLst/>
                    </a:prstGeom>
                  </pic:spPr>
                </pic:pic>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13"/>
        <w:numPr>
          <w:ilvl w:val="0"/>
          <w:numId w:val="2"/>
        </w:numPr>
        <w:bidi w:val="0"/>
        <w:rPr>
          <w:rFonts w:hint="eastAsia"/>
          <w:lang w:eastAsia="zh-CN"/>
        </w:rPr>
      </w:pPr>
      <w:r>
        <w:rPr>
          <w:rFonts w:hint="eastAsia"/>
          <w:lang w:eastAsia="zh-CN"/>
        </w:rPr>
        <w:t>一般公共预算基本支出表。按经济科目到款级。</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Chars="20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r>
        <w:rPr>
          <w:rFonts w:hint="eastAsia" w:ascii="仿宋_GB2312" w:hAnsi="仿宋_GB2312" w:eastAsia="仿宋_GB2312" w:cs="仿宋_GB2312"/>
          <w:i w:val="0"/>
          <w:caps w:val="0"/>
          <w:color w:val="333333"/>
          <w:spacing w:val="0"/>
          <w:sz w:val="27"/>
          <w:szCs w:val="27"/>
          <w:lang w:eastAsia="zh-CN"/>
        </w:rPr>
        <w:drawing>
          <wp:inline distT="0" distB="0" distL="114300" distR="114300">
            <wp:extent cx="5267325" cy="7803515"/>
            <wp:effectExtent l="0" t="0" r="9525" b="6985"/>
            <wp:docPr id="14" name="图片 14" descr="6、基本支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基本支出"/>
                    <pic:cNvPicPr>
                      <a:picLocks noChangeAspect="1"/>
                    </pic:cNvPicPr>
                  </pic:nvPicPr>
                  <pic:blipFill>
                    <a:blip r:embed="rId11"/>
                    <a:stretch>
                      <a:fillRect/>
                    </a:stretch>
                  </pic:blipFill>
                  <pic:spPr>
                    <a:xfrm>
                      <a:off x="0" y="0"/>
                      <a:ext cx="5267325" cy="7803515"/>
                    </a:xfrm>
                    <a:prstGeom prst="rect">
                      <a:avLst/>
                    </a:prstGeom>
                  </pic:spPr>
                </pic:pic>
              </a:graphicData>
            </a:graphic>
          </wp:inline>
        </w:drawing>
      </w:r>
    </w:p>
    <w:p>
      <w:pPr>
        <w:pStyle w:val="13"/>
        <w:numPr>
          <w:ilvl w:val="0"/>
          <w:numId w:val="2"/>
        </w:numPr>
        <w:bidi w:val="0"/>
        <w:rPr>
          <w:rFonts w:hint="eastAsia"/>
          <w:lang w:eastAsia="zh-CN"/>
        </w:rPr>
      </w:pPr>
      <w:r>
        <w:rPr>
          <w:rFonts w:hint="eastAsia"/>
          <w:lang w:eastAsia="zh-CN"/>
        </w:rPr>
        <w:t>一般公共预算“三公”经费支出表。</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r>
        <w:rPr>
          <w:rFonts w:hint="eastAsia" w:ascii="仿宋_GB2312" w:hAnsi="仿宋_GB2312" w:eastAsia="仿宋_GB2312" w:cs="仿宋_GB2312"/>
          <w:i w:val="0"/>
          <w:caps w:val="0"/>
          <w:color w:val="333333"/>
          <w:spacing w:val="0"/>
          <w:sz w:val="27"/>
          <w:szCs w:val="27"/>
          <w:lang w:eastAsia="zh-CN"/>
        </w:rPr>
        <w:drawing>
          <wp:inline distT="0" distB="0" distL="114300" distR="114300">
            <wp:extent cx="5269230" cy="1141730"/>
            <wp:effectExtent l="0" t="0" r="7620" b="1270"/>
            <wp:docPr id="3" name="图片 3" descr="7、三公经费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7、三公经费支出表"/>
                    <pic:cNvPicPr>
                      <a:picLocks noChangeAspect="1"/>
                    </pic:cNvPicPr>
                  </pic:nvPicPr>
                  <pic:blipFill>
                    <a:blip r:embed="rId12"/>
                    <a:stretch>
                      <a:fillRect/>
                    </a:stretch>
                  </pic:blipFill>
                  <pic:spPr>
                    <a:xfrm>
                      <a:off x="0" y="0"/>
                      <a:ext cx="5269230" cy="1141730"/>
                    </a:xfrm>
                    <a:prstGeom prst="rect">
                      <a:avLst/>
                    </a:prstGeom>
                  </pic:spPr>
                </pic:pic>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13"/>
        <w:numPr>
          <w:ilvl w:val="0"/>
          <w:numId w:val="2"/>
        </w:numPr>
        <w:bidi w:val="0"/>
        <w:rPr>
          <w:rFonts w:hint="eastAsia"/>
          <w:lang w:eastAsia="zh-CN"/>
        </w:rPr>
      </w:pPr>
      <w:r>
        <w:rPr>
          <w:rFonts w:hint="eastAsia"/>
          <w:lang w:eastAsia="zh-CN"/>
        </w:rPr>
        <w:t>政府性基金预算支出情况说明。</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r>
        <w:rPr>
          <w:rFonts w:hint="eastAsia" w:ascii="仿宋_GB2312" w:hAnsi="仿宋_GB2312" w:eastAsia="仿宋_GB2312" w:cs="仿宋_GB2312"/>
          <w:i w:val="0"/>
          <w:caps w:val="0"/>
          <w:color w:val="333333"/>
          <w:spacing w:val="0"/>
          <w:sz w:val="27"/>
          <w:szCs w:val="27"/>
          <w:lang w:eastAsia="zh-CN"/>
        </w:rPr>
        <w:drawing>
          <wp:inline distT="0" distB="0" distL="114300" distR="114300">
            <wp:extent cx="5266690" cy="1284605"/>
            <wp:effectExtent l="0" t="0" r="10160" b="10795"/>
            <wp:docPr id="2" name="图片 2" descr="8、政府性基金预算支出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政府性基金预算支出表"/>
                    <pic:cNvPicPr>
                      <a:picLocks noChangeAspect="1"/>
                    </pic:cNvPicPr>
                  </pic:nvPicPr>
                  <pic:blipFill>
                    <a:blip r:embed="rId13"/>
                    <a:stretch>
                      <a:fillRect/>
                    </a:stretch>
                  </pic:blipFill>
                  <pic:spPr>
                    <a:xfrm>
                      <a:off x="0" y="0"/>
                      <a:ext cx="5266690" cy="1284605"/>
                    </a:xfrm>
                    <a:prstGeom prst="rect">
                      <a:avLst/>
                    </a:prstGeom>
                  </pic:spPr>
                </pic:pic>
              </a:graphicData>
            </a:graphic>
          </wp:inline>
        </w:drawing>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leftChars="0" w:right="0" w:rightChars="0"/>
        <w:jc w:val="both"/>
        <w:textAlignment w:val="auto"/>
        <w:rPr>
          <w:rFonts w:hint="eastAsia" w:ascii="仿宋_GB2312" w:hAnsi="仿宋_GB2312" w:eastAsia="仿宋_GB2312" w:cs="仿宋_GB2312"/>
          <w:i w:val="0"/>
          <w:caps w:val="0"/>
          <w:color w:val="333333"/>
          <w:spacing w:val="0"/>
          <w:sz w:val="27"/>
          <w:szCs w:val="27"/>
          <w:lang w:eastAsia="zh-CN"/>
        </w:rPr>
      </w:pPr>
    </w:p>
    <w:p>
      <w:pPr>
        <w:pStyle w:val="13"/>
        <w:numPr>
          <w:ilvl w:val="0"/>
          <w:numId w:val="2"/>
        </w:numPr>
        <w:bidi w:val="0"/>
        <w:rPr>
          <w:rFonts w:hint="eastAsia"/>
          <w:lang w:eastAsia="zh-CN"/>
        </w:rPr>
      </w:pPr>
      <w:r>
        <w:rPr>
          <w:rFonts w:hint="eastAsia"/>
          <w:lang w:eastAsia="zh-CN"/>
        </w:rPr>
        <w:t>部门项目支出表。</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eastAsia" w:ascii="仿宋_GB2312" w:hAnsi="仿宋_GB2312" w:eastAsia="仿宋_GB2312" w:cs="仿宋_GB2312"/>
          <w:i w:val="0"/>
          <w:caps w:val="0"/>
          <w:color w:val="333333"/>
          <w:spacing w:val="0"/>
          <w:sz w:val="27"/>
          <w:szCs w:val="27"/>
          <w:lang w:eastAsia="zh-CN"/>
        </w:rPr>
      </w:pPr>
      <w:r>
        <w:rPr>
          <w:rFonts w:hint="eastAsia" w:eastAsiaTheme="minorEastAsia"/>
          <w:lang w:eastAsia="zh-CN"/>
        </w:rPr>
        <w:drawing>
          <wp:inline distT="0" distB="0" distL="114300" distR="114300">
            <wp:extent cx="5267960" cy="5358765"/>
            <wp:effectExtent l="0" t="0" r="8890" b="13335"/>
            <wp:docPr id="1" name="图片 1" descr="9、项目支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9、项目支出"/>
                    <pic:cNvPicPr>
                      <a:picLocks noChangeAspect="1"/>
                    </pic:cNvPicPr>
                  </pic:nvPicPr>
                  <pic:blipFill>
                    <a:blip r:embed="rId14"/>
                    <a:stretch>
                      <a:fillRect/>
                    </a:stretch>
                  </pic:blipFill>
                  <pic:spPr>
                    <a:xfrm>
                      <a:off x="0" y="0"/>
                      <a:ext cx="5267960" cy="5358765"/>
                    </a:xfrm>
                    <a:prstGeom prst="rect">
                      <a:avLst/>
                    </a:prstGeom>
                  </pic:spPr>
                </pic:pic>
              </a:graphicData>
            </a:graphic>
          </wp:inline>
        </w:drawing>
      </w:r>
    </w:p>
    <w:p>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黑体" w:hAnsi="黑体" w:eastAsia="黑体" w:cs="黑体"/>
          <w:i w:val="0"/>
          <w:caps w:val="0"/>
          <w:color w:val="333333"/>
          <w:spacing w:val="0"/>
          <w:kern w:val="0"/>
          <w:sz w:val="36"/>
          <w:szCs w:val="36"/>
          <w:lang w:val="en-US" w:eastAsia="zh-CN" w:bidi="ar"/>
        </w:rPr>
      </w:pPr>
      <w:r>
        <w:rPr>
          <w:rFonts w:hint="eastAsia" w:ascii="黑体" w:hAnsi="黑体" w:eastAsia="黑体" w:cs="黑体"/>
          <w:i w:val="0"/>
          <w:caps w:val="0"/>
          <w:color w:val="333333"/>
          <w:spacing w:val="0"/>
          <w:kern w:val="0"/>
          <w:sz w:val="36"/>
          <w:szCs w:val="36"/>
          <w:lang w:val="en-US" w:eastAsia="zh-CN" w:bidi="ar"/>
        </w:rPr>
        <w:t>2024年部门预算编制情况及说明</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Chars="0" w:right="0" w:rightChars="0"/>
        <w:jc w:val="both"/>
        <w:textAlignment w:val="auto"/>
        <w:rPr>
          <w:rFonts w:hint="eastAsia" w:ascii="黑体" w:hAnsi="黑体" w:eastAsia="黑体" w:cs="黑体"/>
          <w:i w:val="0"/>
          <w:caps w:val="0"/>
          <w:color w:val="333333"/>
          <w:spacing w:val="0"/>
          <w:kern w:val="0"/>
          <w:sz w:val="36"/>
          <w:szCs w:val="36"/>
          <w:lang w:val="en-US" w:eastAsia="zh-CN" w:bidi="ar"/>
        </w:rPr>
      </w:pP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40" w:firstLineChars="200"/>
        <w:jc w:val="both"/>
        <w:textAlignment w:val="auto"/>
        <w:rPr>
          <w:rFonts w:hint="eastAsia" w:ascii="楷体_GB2312" w:hAnsi="楷体_GB2312" w:eastAsia="楷体_GB2312" w:cs="楷体_GB2312"/>
          <w:i w:val="0"/>
          <w:caps w:val="0"/>
          <w:color w:val="333333"/>
          <w:spacing w:val="0"/>
          <w:sz w:val="27"/>
          <w:szCs w:val="27"/>
          <w:lang w:eastAsia="zh-CN"/>
        </w:rPr>
      </w:pPr>
      <w:r>
        <w:rPr>
          <w:rFonts w:hint="eastAsia" w:ascii="楷体_GB2312" w:hAnsi="楷体_GB2312" w:eastAsia="楷体_GB2312" w:cs="楷体_GB2312"/>
          <w:i w:val="0"/>
          <w:caps w:val="0"/>
          <w:color w:val="333333"/>
          <w:spacing w:val="0"/>
          <w:sz w:val="27"/>
          <w:szCs w:val="27"/>
          <w:lang w:eastAsia="zh-CN"/>
        </w:rPr>
        <w:t>（一）预算收支安排及增减变化情况说明</w:t>
      </w:r>
    </w:p>
    <w:p>
      <w:pPr>
        <w:pStyle w:val="13"/>
        <w:bidi w:val="0"/>
        <w:rPr>
          <w:rFonts w:hint="eastAsia"/>
          <w:lang w:val="en-US" w:eastAsia="zh-CN"/>
        </w:rPr>
      </w:pPr>
      <w:r>
        <w:rPr>
          <w:rFonts w:hint="eastAsia"/>
          <w:lang w:eastAsia="zh-CN"/>
        </w:rPr>
        <w:t>20</w:t>
      </w:r>
      <w:r>
        <w:rPr>
          <w:rFonts w:hint="eastAsia"/>
          <w:lang w:val="en-US" w:eastAsia="zh-CN"/>
        </w:rPr>
        <w:t>24</w:t>
      </w:r>
      <w:r>
        <w:rPr>
          <w:rFonts w:hint="eastAsia"/>
          <w:lang w:eastAsia="zh-CN"/>
        </w:rPr>
        <w:t>年咸宁市生态环境局赤壁市分局收入预算总额为</w:t>
      </w:r>
      <w:r>
        <w:rPr>
          <w:rFonts w:hint="eastAsia"/>
          <w:lang w:val="en-US" w:eastAsia="zh-CN"/>
        </w:rPr>
        <w:t>9675.26</w:t>
      </w:r>
      <w:r>
        <w:rPr>
          <w:rFonts w:hint="eastAsia"/>
          <w:lang w:eastAsia="zh-CN"/>
        </w:rPr>
        <w:t>万元，比上年增（减）加</w:t>
      </w:r>
      <w:r>
        <w:rPr>
          <w:rFonts w:hint="eastAsia"/>
          <w:lang w:val="en-US" w:eastAsia="zh-CN"/>
        </w:rPr>
        <w:t>2593.46</w:t>
      </w:r>
      <w:r>
        <w:rPr>
          <w:rFonts w:hint="eastAsia"/>
          <w:lang w:eastAsia="zh-CN"/>
        </w:rPr>
        <w:t>万元,增长</w:t>
      </w:r>
      <w:r>
        <w:rPr>
          <w:rFonts w:hint="eastAsia"/>
          <w:lang w:val="en-US" w:eastAsia="zh-CN"/>
        </w:rPr>
        <w:t>36.62</w:t>
      </w:r>
      <w:r>
        <w:rPr>
          <w:rFonts w:hint="eastAsia"/>
          <w:lang w:eastAsia="zh-CN"/>
        </w:rPr>
        <w:t>%，其中：一般公共预算财政拨款收入</w:t>
      </w:r>
      <w:r>
        <w:rPr>
          <w:rFonts w:hint="eastAsia"/>
          <w:lang w:val="en-US" w:eastAsia="zh-CN"/>
        </w:rPr>
        <w:t>1768.34</w:t>
      </w:r>
      <w:r>
        <w:rPr>
          <w:rFonts w:hint="eastAsia"/>
          <w:lang w:eastAsia="zh-CN"/>
        </w:rPr>
        <w:t>万元；上年结余（转）</w:t>
      </w:r>
      <w:r>
        <w:rPr>
          <w:rFonts w:hint="eastAsia"/>
          <w:lang w:val="en-US" w:eastAsia="zh-CN"/>
        </w:rPr>
        <w:t>91.3</w:t>
      </w:r>
      <w:r>
        <w:rPr>
          <w:rFonts w:hint="eastAsia"/>
          <w:lang w:eastAsia="zh-CN"/>
        </w:rPr>
        <w:t>万元。增长主要原因：</w:t>
      </w:r>
      <w:r>
        <w:rPr>
          <w:rFonts w:hint="eastAsia"/>
          <w:lang w:val="en-US" w:eastAsia="zh-CN"/>
        </w:rPr>
        <w:t>特定目标类项目支出增加(生态环境保护及监管、土壤污染防治及监管、赤壁市重点河湖排污口排查溯源整治和规范化建设、省级生态环境保护以奖代补资金、中央农村环境整治资金、集中式饮用水源地环境整治和规范化建设）。</w:t>
      </w:r>
    </w:p>
    <w:p>
      <w:pPr>
        <w:pStyle w:val="13"/>
        <w:bidi w:val="0"/>
        <w:rPr>
          <w:rFonts w:hint="eastAsia"/>
          <w:lang w:val="en-US" w:eastAsia="zh-CN"/>
        </w:rPr>
      </w:pPr>
      <w:r>
        <w:rPr>
          <w:rFonts w:hint="eastAsia"/>
          <w:lang w:eastAsia="zh-CN"/>
        </w:rPr>
        <w:t>20</w:t>
      </w:r>
      <w:r>
        <w:rPr>
          <w:rFonts w:hint="eastAsia"/>
          <w:lang w:val="en-US" w:eastAsia="zh-CN"/>
        </w:rPr>
        <w:t>24</w:t>
      </w:r>
      <w:r>
        <w:rPr>
          <w:rFonts w:hint="eastAsia"/>
          <w:lang w:eastAsia="zh-CN"/>
        </w:rPr>
        <w:t>年咸宁市生态环境局赤壁市分局支出预算总额为</w:t>
      </w:r>
      <w:r>
        <w:rPr>
          <w:rFonts w:hint="eastAsia"/>
          <w:lang w:val="en-US" w:eastAsia="zh-CN"/>
        </w:rPr>
        <w:t>9675.26</w:t>
      </w:r>
      <w:r>
        <w:rPr>
          <w:rFonts w:hint="eastAsia"/>
          <w:lang w:eastAsia="zh-CN"/>
        </w:rPr>
        <w:t>万元，比上年增（减）加</w:t>
      </w:r>
      <w:r>
        <w:rPr>
          <w:rFonts w:hint="eastAsia"/>
          <w:lang w:val="en-US" w:eastAsia="zh-CN"/>
        </w:rPr>
        <w:t>2593.46</w:t>
      </w:r>
      <w:r>
        <w:rPr>
          <w:rFonts w:hint="eastAsia"/>
          <w:lang w:eastAsia="zh-CN"/>
        </w:rPr>
        <w:t>万元,增长</w:t>
      </w:r>
      <w:r>
        <w:rPr>
          <w:rFonts w:hint="eastAsia"/>
          <w:lang w:val="en-US" w:eastAsia="zh-CN"/>
        </w:rPr>
        <w:t>36.62</w:t>
      </w:r>
      <w:r>
        <w:rPr>
          <w:rFonts w:hint="eastAsia"/>
          <w:lang w:eastAsia="zh-CN"/>
        </w:rPr>
        <w:t>%，其中：一般公共预算财政拨款支出</w:t>
      </w:r>
      <w:r>
        <w:rPr>
          <w:rFonts w:hint="eastAsia"/>
          <w:lang w:val="en-US" w:eastAsia="zh-CN"/>
        </w:rPr>
        <w:t>1768.34</w:t>
      </w:r>
      <w:r>
        <w:rPr>
          <w:rFonts w:hint="eastAsia"/>
          <w:lang w:eastAsia="zh-CN"/>
        </w:rPr>
        <w:t>万元；上年结余（转）</w:t>
      </w:r>
      <w:r>
        <w:rPr>
          <w:rFonts w:hint="eastAsia"/>
          <w:lang w:val="en-US" w:eastAsia="zh-CN"/>
        </w:rPr>
        <w:t>91.3</w:t>
      </w:r>
      <w:r>
        <w:rPr>
          <w:rFonts w:hint="eastAsia"/>
          <w:lang w:eastAsia="zh-CN"/>
        </w:rPr>
        <w:t>万元。增长主要原因：</w:t>
      </w:r>
      <w:r>
        <w:rPr>
          <w:rFonts w:hint="eastAsia"/>
          <w:lang w:val="en-US" w:eastAsia="zh-CN"/>
        </w:rPr>
        <w:t>特定目标类项目支出增加(生态环境保护及监管、土壤污染防治及监管、赤壁市重点河湖排污口排查溯源整治和规范化建设、省级生态环境保护以奖代补资金、中央农村环境整治资金、集中式饮用水源地环境整治和规范化建设）。</w:t>
      </w:r>
    </w:p>
    <w:p>
      <w:pPr>
        <w:pStyle w:val="13"/>
        <w:bidi w:val="0"/>
        <w:rPr>
          <w:rFonts w:hint="eastAsia"/>
          <w:lang w:eastAsia="zh-CN"/>
        </w:rPr>
      </w:pPr>
      <w:r>
        <w:rPr>
          <w:rFonts w:hint="eastAsia"/>
          <w:lang w:eastAsia="zh-CN"/>
        </w:rPr>
        <w:t>咸宁市生态环境局赤壁市分局20</w:t>
      </w:r>
      <w:r>
        <w:rPr>
          <w:rFonts w:hint="eastAsia"/>
          <w:lang w:val="en-US" w:eastAsia="zh-CN"/>
        </w:rPr>
        <w:t>24</w:t>
      </w:r>
      <w:r>
        <w:rPr>
          <w:rFonts w:hint="eastAsia"/>
          <w:lang w:eastAsia="zh-CN"/>
        </w:rPr>
        <w:t>年政府性基金预算支出为</w:t>
      </w:r>
      <w:r>
        <w:rPr>
          <w:rFonts w:hint="eastAsia"/>
          <w:lang w:val="en-US" w:eastAsia="zh-CN"/>
        </w:rPr>
        <w:t>0</w:t>
      </w:r>
      <w:r>
        <w:rPr>
          <w:rFonts w:hint="eastAsia"/>
          <w:lang w:eastAsia="zh-CN"/>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40" w:firstLineChars="200"/>
        <w:jc w:val="both"/>
        <w:textAlignment w:val="auto"/>
        <w:rPr>
          <w:rFonts w:hint="eastAsia" w:ascii="楷体_GB2312" w:hAnsi="楷体_GB2312" w:eastAsia="楷体_GB2312" w:cs="楷体_GB2312"/>
          <w:i w:val="0"/>
          <w:caps w:val="0"/>
          <w:color w:val="333333"/>
          <w:spacing w:val="0"/>
          <w:sz w:val="27"/>
          <w:szCs w:val="27"/>
          <w:lang w:eastAsia="zh-CN"/>
        </w:rPr>
      </w:pPr>
      <w:r>
        <w:rPr>
          <w:rFonts w:hint="eastAsia" w:ascii="楷体_GB2312" w:hAnsi="楷体_GB2312" w:eastAsia="楷体_GB2312" w:cs="楷体_GB2312"/>
          <w:i w:val="0"/>
          <w:caps w:val="0"/>
          <w:color w:val="333333"/>
          <w:spacing w:val="0"/>
          <w:sz w:val="27"/>
          <w:szCs w:val="27"/>
          <w:lang w:eastAsia="zh-CN"/>
        </w:rPr>
        <w:t>（二）机关运行经费安排及增减变化情况说明</w:t>
      </w:r>
    </w:p>
    <w:p>
      <w:pPr>
        <w:pStyle w:val="13"/>
        <w:bidi w:val="0"/>
        <w:rPr>
          <w:rFonts w:hint="eastAsia"/>
          <w:lang w:eastAsia="zh-CN"/>
        </w:rPr>
      </w:pPr>
      <w:r>
        <w:rPr>
          <w:rFonts w:hint="eastAsia"/>
          <w:lang w:eastAsia="zh-CN"/>
        </w:rPr>
        <w:t>咸宁市生态环境局赤壁市分局20</w:t>
      </w:r>
      <w:r>
        <w:rPr>
          <w:rFonts w:hint="eastAsia"/>
          <w:lang w:val="en-US" w:eastAsia="zh-CN"/>
        </w:rPr>
        <w:t>24</w:t>
      </w:r>
      <w:r>
        <w:rPr>
          <w:rFonts w:hint="eastAsia"/>
          <w:lang w:eastAsia="zh-CN"/>
        </w:rPr>
        <w:t>年机关运行经费预算</w:t>
      </w:r>
      <w:r>
        <w:rPr>
          <w:rFonts w:hint="eastAsia"/>
          <w:lang w:val="en-US" w:eastAsia="zh-CN"/>
        </w:rPr>
        <w:t>122.04</w:t>
      </w:r>
      <w:r>
        <w:rPr>
          <w:rFonts w:hint="eastAsia"/>
          <w:lang w:eastAsia="zh-CN"/>
        </w:rPr>
        <w:t>万元，其中：办公费</w:t>
      </w:r>
      <w:r>
        <w:rPr>
          <w:rFonts w:hint="eastAsia"/>
          <w:lang w:val="en-US" w:eastAsia="zh-CN"/>
        </w:rPr>
        <w:t>11.7</w:t>
      </w:r>
      <w:r>
        <w:rPr>
          <w:rFonts w:hint="eastAsia"/>
          <w:lang w:eastAsia="zh-CN"/>
        </w:rPr>
        <w:t>万元、印刷费</w:t>
      </w:r>
      <w:r>
        <w:rPr>
          <w:rFonts w:hint="eastAsia"/>
          <w:lang w:val="en-US" w:eastAsia="zh-CN"/>
        </w:rPr>
        <w:t>0</w:t>
      </w:r>
      <w:r>
        <w:rPr>
          <w:rFonts w:hint="eastAsia"/>
          <w:lang w:eastAsia="zh-CN"/>
        </w:rPr>
        <w:t>万元、水电费</w:t>
      </w:r>
      <w:r>
        <w:rPr>
          <w:rFonts w:hint="eastAsia"/>
          <w:lang w:val="en-US" w:eastAsia="zh-CN"/>
        </w:rPr>
        <w:t>0</w:t>
      </w:r>
      <w:r>
        <w:rPr>
          <w:rFonts w:hint="eastAsia"/>
          <w:lang w:eastAsia="zh-CN"/>
        </w:rPr>
        <w:t>万元、邮电费</w:t>
      </w:r>
      <w:r>
        <w:rPr>
          <w:rFonts w:hint="eastAsia"/>
          <w:lang w:val="en-US" w:eastAsia="zh-CN"/>
        </w:rPr>
        <w:t>5</w:t>
      </w:r>
      <w:r>
        <w:rPr>
          <w:rFonts w:hint="eastAsia"/>
          <w:lang w:eastAsia="zh-CN"/>
        </w:rPr>
        <w:t>万元、差旅费</w:t>
      </w:r>
      <w:r>
        <w:rPr>
          <w:rFonts w:hint="eastAsia"/>
          <w:lang w:val="en-US" w:eastAsia="zh-CN"/>
        </w:rPr>
        <w:t>0</w:t>
      </w:r>
      <w:r>
        <w:rPr>
          <w:rFonts w:hint="eastAsia"/>
          <w:lang w:eastAsia="zh-CN"/>
        </w:rPr>
        <w:t>万元、因公出国(境)费用</w:t>
      </w:r>
      <w:r>
        <w:rPr>
          <w:rFonts w:hint="eastAsia"/>
          <w:lang w:val="en-US" w:eastAsia="zh-CN"/>
        </w:rPr>
        <w:t>0</w:t>
      </w:r>
      <w:r>
        <w:rPr>
          <w:rFonts w:hint="eastAsia"/>
          <w:lang w:eastAsia="zh-CN"/>
        </w:rPr>
        <w:t>万元、维修(护)费</w:t>
      </w:r>
      <w:r>
        <w:rPr>
          <w:rFonts w:hint="eastAsia"/>
          <w:lang w:val="en-US" w:eastAsia="zh-CN"/>
        </w:rPr>
        <w:t>0</w:t>
      </w:r>
      <w:r>
        <w:rPr>
          <w:rFonts w:hint="eastAsia"/>
          <w:lang w:eastAsia="zh-CN"/>
        </w:rPr>
        <w:t>万元、会议费</w:t>
      </w:r>
      <w:r>
        <w:rPr>
          <w:rFonts w:hint="eastAsia"/>
          <w:lang w:val="en-US" w:eastAsia="zh-CN"/>
        </w:rPr>
        <w:t>0</w:t>
      </w:r>
      <w:r>
        <w:rPr>
          <w:rFonts w:hint="eastAsia"/>
          <w:lang w:eastAsia="zh-CN"/>
        </w:rPr>
        <w:t>万元、培训费</w:t>
      </w:r>
      <w:r>
        <w:rPr>
          <w:rFonts w:hint="eastAsia"/>
          <w:lang w:val="en-US" w:eastAsia="zh-CN"/>
        </w:rPr>
        <w:t>0</w:t>
      </w:r>
      <w:r>
        <w:rPr>
          <w:rFonts w:hint="eastAsia"/>
          <w:lang w:eastAsia="zh-CN"/>
        </w:rPr>
        <w:t>万元、公务接待费</w:t>
      </w:r>
      <w:r>
        <w:rPr>
          <w:rFonts w:hint="eastAsia"/>
          <w:lang w:val="en-US" w:eastAsia="zh-CN"/>
        </w:rPr>
        <w:t>9</w:t>
      </w:r>
      <w:r>
        <w:rPr>
          <w:rFonts w:hint="eastAsia"/>
          <w:lang w:eastAsia="zh-CN"/>
        </w:rPr>
        <w:t>万元、工会会费</w:t>
      </w:r>
      <w:r>
        <w:rPr>
          <w:rFonts w:hint="eastAsia"/>
          <w:lang w:val="en-US" w:eastAsia="zh-CN"/>
        </w:rPr>
        <w:t>13.73</w:t>
      </w:r>
      <w:r>
        <w:rPr>
          <w:rFonts w:hint="eastAsia"/>
          <w:lang w:eastAsia="zh-CN"/>
        </w:rPr>
        <w:t>万元、福利费</w:t>
      </w:r>
      <w:r>
        <w:rPr>
          <w:rFonts w:hint="eastAsia"/>
          <w:lang w:val="en-US" w:eastAsia="zh-CN"/>
        </w:rPr>
        <w:t>17.16</w:t>
      </w:r>
      <w:r>
        <w:rPr>
          <w:rFonts w:hint="eastAsia"/>
          <w:lang w:eastAsia="zh-CN"/>
        </w:rPr>
        <w:t>万元、公务用车运行维护费</w:t>
      </w:r>
      <w:r>
        <w:rPr>
          <w:rFonts w:hint="eastAsia"/>
          <w:lang w:val="en-US" w:eastAsia="zh-CN"/>
        </w:rPr>
        <w:t>0</w:t>
      </w:r>
      <w:r>
        <w:rPr>
          <w:rFonts w:hint="eastAsia"/>
          <w:lang w:eastAsia="zh-CN"/>
        </w:rPr>
        <w:t>万元、其他交通费用</w:t>
      </w:r>
      <w:r>
        <w:rPr>
          <w:rFonts w:hint="eastAsia"/>
          <w:lang w:val="en-US" w:eastAsia="zh-CN"/>
        </w:rPr>
        <w:t>31.75</w:t>
      </w:r>
      <w:r>
        <w:rPr>
          <w:rFonts w:hint="eastAsia"/>
          <w:lang w:eastAsia="zh-CN"/>
        </w:rPr>
        <w:t>万元、其他商品和服务支出</w:t>
      </w:r>
      <w:r>
        <w:rPr>
          <w:rFonts w:hint="eastAsia"/>
          <w:lang w:val="en-US" w:eastAsia="zh-CN"/>
        </w:rPr>
        <w:t>33.69</w:t>
      </w:r>
      <w:r>
        <w:rPr>
          <w:rFonts w:hint="eastAsia"/>
          <w:lang w:eastAsia="zh-CN"/>
        </w:rPr>
        <w:t>万元、办公设备购置费</w:t>
      </w:r>
      <w:r>
        <w:rPr>
          <w:rFonts w:hint="eastAsia"/>
          <w:lang w:val="en-US" w:eastAsia="zh-CN"/>
        </w:rPr>
        <w:t>0</w:t>
      </w:r>
      <w:r>
        <w:rPr>
          <w:rFonts w:hint="eastAsia"/>
          <w:lang w:eastAsia="zh-CN"/>
        </w:rPr>
        <w:t>万元。占预算总额的</w:t>
      </w:r>
      <w:r>
        <w:rPr>
          <w:rFonts w:hint="eastAsia"/>
          <w:lang w:val="en-US" w:eastAsia="zh-CN"/>
        </w:rPr>
        <w:t>1.26</w:t>
      </w:r>
      <w:r>
        <w:rPr>
          <w:rFonts w:hint="eastAsia"/>
          <w:lang w:eastAsia="zh-CN"/>
        </w:rPr>
        <w:t>%，比上年增加</w:t>
      </w:r>
      <w:r>
        <w:rPr>
          <w:rFonts w:hint="eastAsia"/>
          <w:lang w:val="en-US" w:eastAsia="zh-CN"/>
        </w:rPr>
        <w:t>22.52</w:t>
      </w:r>
      <w:r>
        <w:rPr>
          <w:rFonts w:hint="eastAsia"/>
          <w:lang w:eastAsia="zh-CN"/>
        </w:rPr>
        <w:t>万元,增长</w:t>
      </w:r>
      <w:r>
        <w:rPr>
          <w:rFonts w:hint="eastAsia"/>
          <w:lang w:val="en-US" w:eastAsia="zh-CN"/>
        </w:rPr>
        <w:t>22.63</w:t>
      </w:r>
      <w:r>
        <w:rPr>
          <w:rFonts w:hint="eastAsia"/>
          <w:lang w:eastAsia="zh-CN"/>
        </w:rPr>
        <w:t>%。增长原因：其他交通费用支出增加。</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540" w:firstLineChars="200"/>
        <w:jc w:val="both"/>
        <w:textAlignment w:val="auto"/>
        <w:rPr>
          <w:rFonts w:hint="eastAsia" w:ascii="楷体_GB2312" w:hAnsi="楷体_GB2312" w:eastAsia="楷体_GB2312" w:cs="楷体_GB2312"/>
          <w:i w:val="0"/>
          <w:caps w:val="0"/>
          <w:color w:val="333333"/>
          <w:spacing w:val="0"/>
          <w:sz w:val="27"/>
          <w:szCs w:val="27"/>
          <w:lang w:eastAsia="zh-CN"/>
        </w:rPr>
      </w:pPr>
      <w:r>
        <w:rPr>
          <w:rFonts w:hint="eastAsia" w:ascii="楷体_GB2312" w:hAnsi="楷体_GB2312" w:eastAsia="楷体_GB2312" w:cs="楷体_GB2312"/>
          <w:i w:val="0"/>
          <w:caps w:val="0"/>
          <w:color w:val="333333"/>
          <w:spacing w:val="0"/>
          <w:sz w:val="27"/>
          <w:szCs w:val="27"/>
          <w:lang w:eastAsia="zh-CN"/>
        </w:rPr>
        <w:t>（三）“三公”经费安排及增减变化情况说明</w:t>
      </w:r>
    </w:p>
    <w:p>
      <w:pPr>
        <w:pStyle w:val="13"/>
        <w:bidi w:val="0"/>
        <w:rPr>
          <w:rFonts w:hint="eastAsia"/>
          <w:lang w:eastAsia="zh-CN"/>
        </w:rPr>
      </w:pPr>
      <w:r>
        <w:rPr>
          <w:rFonts w:hint="eastAsia"/>
          <w:lang w:eastAsia="zh-CN"/>
        </w:rPr>
        <w:t>咸宁市生态环境局赤壁市分局2024年“三公”经费预算</w:t>
      </w:r>
      <w:r>
        <w:rPr>
          <w:rFonts w:hint="eastAsia"/>
          <w:lang w:val="en-US" w:eastAsia="zh-CN"/>
        </w:rPr>
        <w:t>35</w:t>
      </w:r>
      <w:r>
        <w:rPr>
          <w:rFonts w:hint="eastAsia"/>
          <w:lang w:eastAsia="zh-CN"/>
        </w:rPr>
        <w:t>万元，占预算总额的</w:t>
      </w:r>
      <w:r>
        <w:rPr>
          <w:rFonts w:hint="eastAsia"/>
          <w:lang w:val="en-US" w:eastAsia="zh-CN"/>
        </w:rPr>
        <w:t>0.36</w:t>
      </w:r>
      <w:r>
        <w:rPr>
          <w:rFonts w:hint="eastAsia"/>
          <w:lang w:eastAsia="zh-CN"/>
        </w:rPr>
        <w:t>%，比上年减少</w:t>
      </w:r>
      <w:r>
        <w:rPr>
          <w:rFonts w:hint="eastAsia"/>
          <w:lang w:val="en-US" w:eastAsia="zh-CN"/>
        </w:rPr>
        <w:t>2</w:t>
      </w:r>
      <w:r>
        <w:rPr>
          <w:rFonts w:hint="eastAsia"/>
          <w:lang w:eastAsia="zh-CN"/>
        </w:rPr>
        <w:t>万元,下降</w:t>
      </w:r>
      <w:r>
        <w:rPr>
          <w:rFonts w:hint="eastAsia"/>
          <w:lang w:val="en-US" w:eastAsia="zh-CN"/>
        </w:rPr>
        <w:t>5.41</w:t>
      </w:r>
      <w:r>
        <w:rPr>
          <w:rFonts w:hint="eastAsia"/>
          <w:lang w:eastAsia="zh-CN"/>
        </w:rPr>
        <w:t>%。下降原因：认真贯彻落实</w:t>
      </w:r>
      <w:bookmarkStart w:id="0" w:name="_GoBack"/>
      <w:r>
        <w:rPr>
          <w:rFonts w:hint="eastAsia"/>
          <w:lang w:eastAsia="zh-CN"/>
        </w:rPr>
        <w:t>中央八项规定</w:t>
      </w:r>
      <w:bookmarkEnd w:id="0"/>
      <w:r>
        <w:rPr>
          <w:rFonts w:hint="eastAsia"/>
          <w:lang w:eastAsia="zh-CN"/>
        </w:rPr>
        <w:t>精神和厉行节约要求，进一步从严控制“三公”经费开支</w:t>
      </w:r>
      <w:r>
        <w:rPr>
          <w:rFonts w:hint="eastAsia"/>
          <w:lang w:val="en-US" w:eastAsia="zh-CN"/>
        </w:rPr>
        <w:t>。</w:t>
      </w:r>
    </w:p>
    <w:p>
      <w:pPr>
        <w:pStyle w:val="13"/>
        <w:bidi w:val="0"/>
        <w:rPr>
          <w:rFonts w:hint="eastAsia"/>
          <w:lang w:val="en-US" w:eastAsia="zh-CN"/>
        </w:rPr>
      </w:pPr>
      <w:r>
        <w:rPr>
          <w:rFonts w:hint="eastAsia"/>
          <w:lang w:eastAsia="zh-CN"/>
        </w:rPr>
        <w:t>因公出国（境）费用</w:t>
      </w:r>
      <w:r>
        <w:rPr>
          <w:rFonts w:hint="eastAsia"/>
          <w:lang w:val="en-US" w:eastAsia="zh-CN"/>
        </w:rPr>
        <w:t>0</w:t>
      </w:r>
      <w:r>
        <w:rPr>
          <w:rFonts w:hint="eastAsia"/>
          <w:lang w:eastAsia="zh-CN"/>
        </w:rPr>
        <w:t>万元，比上年增加（减少）</w:t>
      </w:r>
      <w:r>
        <w:rPr>
          <w:rFonts w:hint="eastAsia"/>
          <w:lang w:val="en-US" w:eastAsia="zh-CN"/>
        </w:rPr>
        <w:t>0</w:t>
      </w:r>
      <w:r>
        <w:rPr>
          <w:rFonts w:hint="eastAsia"/>
          <w:lang w:eastAsia="zh-CN"/>
        </w:rPr>
        <w:t>万元,增长（下降）</w:t>
      </w:r>
      <w:r>
        <w:rPr>
          <w:rFonts w:hint="eastAsia"/>
          <w:lang w:val="en-US" w:eastAsia="zh-CN"/>
        </w:rPr>
        <w:t>0</w:t>
      </w:r>
      <w:r>
        <w:rPr>
          <w:rFonts w:hint="eastAsia"/>
          <w:lang w:eastAsia="zh-CN"/>
        </w:rPr>
        <w:t>%。增长（下降）原因：</w:t>
      </w:r>
      <w:r>
        <w:rPr>
          <w:rFonts w:hint="eastAsia"/>
          <w:lang w:val="en-US" w:eastAsia="zh-CN"/>
        </w:rPr>
        <w:t>本年度未安排预算。</w:t>
      </w:r>
    </w:p>
    <w:p>
      <w:pPr>
        <w:pStyle w:val="13"/>
        <w:bidi w:val="0"/>
        <w:rPr>
          <w:rFonts w:hint="eastAsia"/>
          <w:lang w:eastAsia="zh-CN"/>
        </w:rPr>
      </w:pPr>
      <w:r>
        <w:rPr>
          <w:rFonts w:hint="eastAsia"/>
          <w:lang w:eastAsia="zh-CN"/>
        </w:rPr>
        <w:t>公务用车运行维护费</w:t>
      </w:r>
      <w:r>
        <w:rPr>
          <w:rFonts w:hint="eastAsia"/>
          <w:lang w:val="en-US" w:eastAsia="zh-CN"/>
        </w:rPr>
        <w:t>26</w:t>
      </w:r>
      <w:r>
        <w:rPr>
          <w:rFonts w:hint="eastAsia"/>
          <w:lang w:eastAsia="zh-CN"/>
        </w:rPr>
        <w:t>万元，比上年减少</w:t>
      </w:r>
      <w:r>
        <w:rPr>
          <w:rFonts w:hint="eastAsia"/>
          <w:lang w:val="en-US" w:eastAsia="zh-CN"/>
        </w:rPr>
        <w:t>1</w:t>
      </w:r>
      <w:r>
        <w:rPr>
          <w:rFonts w:hint="eastAsia"/>
          <w:lang w:eastAsia="zh-CN"/>
        </w:rPr>
        <w:t>万元,下降</w:t>
      </w:r>
      <w:r>
        <w:rPr>
          <w:rFonts w:hint="eastAsia"/>
          <w:lang w:val="en-US" w:eastAsia="zh-CN"/>
        </w:rPr>
        <w:t>3.7</w:t>
      </w:r>
      <w:r>
        <w:rPr>
          <w:rFonts w:hint="eastAsia"/>
          <w:lang w:eastAsia="zh-CN"/>
        </w:rPr>
        <w:t>%。下降原因：</w:t>
      </w:r>
      <w:r>
        <w:rPr>
          <w:rFonts w:hint="eastAsia"/>
          <w:lang w:val="en-US" w:eastAsia="zh-CN"/>
        </w:rPr>
        <w:t>主要是贯彻落实公务用车制度改革精神，规范公务用车使用，从严从紧控制经费</w:t>
      </w:r>
      <w:r>
        <w:rPr>
          <w:rFonts w:hint="eastAsia"/>
          <w:lang w:eastAsia="zh-CN"/>
        </w:rPr>
        <w:t>；公务用车购置费</w:t>
      </w:r>
      <w:r>
        <w:rPr>
          <w:rFonts w:hint="eastAsia"/>
          <w:lang w:val="en-US" w:eastAsia="zh-CN"/>
        </w:rPr>
        <w:t>0</w:t>
      </w:r>
      <w:r>
        <w:rPr>
          <w:rFonts w:hint="eastAsia"/>
          <w:lang w:eastAsia="zh-CN"/>
        </w:rPr>
        <w:t>万元，比上年增加（减少）</w:t>
      </w:r>
      <w:r>
        <w:rPr>
          <w:rFonts w:hint="eastAsia"/>
          <w:lang w:val="en-US" w:eastAsia="zh-CN"/>
        </w:rPr>
        <w:t>0</w:t>
      </w:r>
      <w:r>
        <w:rPr>
          <w:rFonts w:hint="eastAsia"/>
          <w:lang w:eastAsia="zh-CN"/>
        </w:rPr>
        <w:t>万元,增长（下降）</w:t>
      </w:r>
      <w:r>
        <w:rPr>
          <w:rFonts w:hint="eastAsia"/>
          <w:lang w:val="en-US" w:eastAsia="zh-CN"/>
        </w:rPr>
        <w:t>0</w:t>
      </w:r>
      <w:r>
        <w:rPr>
          <w:rFonts w:hint="eastAsia"/>
          <w:lang w:eastAsia="zh-CN"/>
        </w:rPr>
        <w:t>%。增长（下降）原因：</w:t>
      </w:r>
      <w:r>
        <w:rPr>
          <w:rFonts w:hint="eastAsia"/>
          <w:lang w:val="en-US" w:eastAsia="zh-CN"/>
        </w:rPr>
        <w:t>本年度未安排预算。</w:t>
      </w:r>
    </w:p>
    <w:p>
      <w:pPr>
        <w:pStyle w:val="13"/>
        <w:bidi w:val="0"/>
        <w:rPr>
          <w:rFonts w:hint="eastAsia" w:ascii="仿宋_GB2312" w:hAnsi="仿宋_GB2312" w:eastAsia="仿宋_GB2312" w:cs="仿宋_GB2312"/>
          <w:i w:val="0"/>
          <w:caps w:val="0"/>
          <w:color w:val="333333"/>
          <w:spacing w:val="0"/>
          <w:szCs w:val="27"/>
          <w:lang w:eastAsia="zh-CN"/>
        </w:rPr>
      </w:pPr>
      <w:r>
        <w:rPr>
          <w:rFonts w:hint="eastAsia"/>
          <w:lang w:eastAsia="zh-CN"/>
        </w:rPr>
        <w:t>公务接待费</w:t>
      </w:r>
      <w:r>
        <w:rPr>
          <w:rFonts w:hint="eastAsia"/>
          <w:lang w:val="en-US" w:eastAsia="zh-CN"/>
        </w:rPr>
        <w:t>9</w:t>
      </w:r>
      <w:r>
        <w:rPr>
          <w:rFonts w:hint="eastAsia"/>
          <w:lang w:eastAsia="zh-CN"/>
        </w:rPr>
        <w:t>万元，比上年减少</w:t>
      </w:r>
      <w:r>
        <w:rPr>
          <w:rFonts w:hint="eastAsia"/>
          <w:lang w:val="en-US" w:eastAsia="zh-CN"/>
        </w:rPr>
        <w:t>1</w:t>
      </w:r>
      <w:r>
        <w:rPr>
          <w:rFonts w:hint="eastAsia"/>
          <w:lang w:eastAsia="zh-CN"/>
        </w:rPr>
        <w:t>万元,下降</w:t>
      </w:r>
      <w:r>
        <w:rPr>
          <w:rFonts w:hint="eastAsia"/>
          <w:lang w:val="en-US" w:eastAsia="zh-CN"/>
        </w:rPr>
        <w:t>10</w:t>
      </w:r>
      <w:r>
        <w:rPr>
          <w:rFonts w:hint="eastAsia"/>
          <w:lang w:eastAsia="zh-CN"/>
        </w:rPr>
        <w:t>%。下降原因：</w:t>
      </w:r>
      <w:r>
        <w:rPr>
          <w:rFonts w:hint="eastAsia"/>
          <w:lang w:val="en-US" w:eastAsia="zh-CN"/>
        </w:rPr>
        <w:t>主要是积极贯彻落实中央关于厉行节约的要求，从严控制公务接待行为。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40" w:firstLineChars="200"/>
        <w:jc w:val="both"/>
        <w:textAlignment w:val="auto"/>
        <w:rPr>
          <w:rFonts w:hint="eastAsia" w:ascii="楷体_GB2312" w:hAnsi="楷体_GB2312" w:eastAsia="楷体_GB2312" w:cs="楷体_GB2312"/>
          <w:i w:val="0"/>
          <w:caps w:val="0"/>
          <w:color w:val="333333"/>
          <w:spacing w:val="0"/>
          <w:sz w:val="27"/>
          <w:szCs w:val="27"/>
          <w:lang w:eastAsia="zh-CN"/>
        </w:rPr>
      </w:pPr>
      <w:r>
        <w:rPr>
          <w:rFonts w:hint="eastAsia" w:ascii="楷体_GB2312" w:hAnsi="楷体_GB2312" w:eastAsia="楷体_GB2312" w:cs="楷体_GB2312"/>
          <w:i w:val="0"/>
          <w:caps w:val="0"/>
          <w:color w:val="333333"/>
          <w:spacing w:val="0"/>
          <w:sz w:val="27"/>
          <w:szCs w:val="27"/>
          <w:lang w:eastAsia="zh-CN"/>
        </w:rPr>
        <w:t>（四）政府采购预算安排及增减变化情况说明</w:t>
      </w:r>
    </w:p>
    <w:p>
      <w:pPr>
        <w:pStyle w:val="13"/>
        <w:bidi w:val="0"/>
        <w:rPr>
          <w:rFonts w:hint="default"/>
          <w:lang w:val="en-US" w:eastAsia="zh-CN"/>
        </w:rPr>
      </w:pPr>
      <w:r>
        <w:rPr>
          <w:rFonts w:hint="eastAsia"/>
          <w:lang w:eastAsia="zh-CN"/>
        </w:rPr>
        <w:t>咸宁市生态环境局赤壁市分局严格按照《中华人民共和国政府采购法》《咸宁市2024年政府集中采购目录及标准》有关规定，切实做到“应编尽编，应采尽采”。2024年，我单位政府采购预算</w:t>
      </w:r>
      <w:r>
        <w:rPr>
          <w:rFonts w:hint="eastAsia"/>
          <w:lang w:val="en-US" w:eastAsia="zh-CN"/>
        </w:rPr>
        <w:t>2225</w:t>
      </w:r>
      <w:r>
        <w:rPr>
          <w:rFonts w:hint="eastAsia"/>
          <w:lang w:eastAsia="zh-CN"/>
        </w:rPr>
        <w:t>万元，其中货物类采购预算</w:t>
      </w:r>
      <w:r>
        <w:rPr>
          <w:rFonts w:hint="eastAsia"/>
          <w:lang w:val="en-US" w:eastAsia="zh-CN"/>
        </w:rPr>
        <w:t>2</w:t>
      </w:r>
      <w:r>
        <w:rPr>
          <w:rFonts w:hint="eastAsia"/>
          <w:lang w:eastAsia="zh-CN"/>
        </w:rPr>
        <w:t>万元，工程类采购预算</w:t>
      </w:r>
      <w:r>
        <w:rPr>
          <w:rFonts w:hint="eastAsia"/>
          <w:lang w:val="en-US" w:eastAsia="zh-CN"/>
        </w:rPr>
        <w:t>0</w:t>
      </w:r>
      <w:r>
        <w:rPr>
          <w:rFonts w:hint="eastAsia"/>
          <w:lang w:eastAsia="zh-CN"/>
        </w:rPr>
        <w:t>万元，服务类采购预算</w:t>
      </w:r>
      <w:r>
        <w:rPr>
          <w:rFonts w:hint="eastAsia"/>
          <w:lang w:val="en-US" w:eastAsia="zh-CN"/>
        </w:rPr>
        <w:t>2223</w:t>
      </w:r>
      <w:r>
        <w:rPr>
          <w:rFonts w:hint="eastAsia"/>
          <w:lang w:eastAsia="zh-CN"/>
        </w:rPr>
        <w:t>万元。比上年增加</w:t>
      </w:r>
      <w:r>
        <w:rPr>
          <w:rFonts w:hint="eastAsia"/>
          <w:lang w:val="en-US" w:eastAsia="zh-CN"/>
        </w:rPr>
        <w:t>1896万</w:t>
      </w:r>
      <w:r>
        <w:rPr>
          <w:rFonts w:hint="eastAsia"/>
          <w:lang w:eastAsia="zh-CN"/>
        </w:rPr>
        <w:t>元,增长</w:t>
      </w:r>
      <w:r>
        <w:rPr>
          <w:rFonts w:hint="eastAsia"/>
          <w:lang w:val="en-US" w:eastAsia="zh-CN"/>
        </w:rPr>
        <w:t>576.29</w:t>
      </w:r>
      <w:r>
        <w:rPr>
          <w:rFonts w:hint="eastAsia"/>
          <w:lang w:eastAsia="zh-CN"/>
        </w:rPr>
        <w:t>%。增长原因：新增</w:t>
      </w:r>
      <w:r>
        <w:rPr>
          <w:rFonts w:hint="eastAsia"/>
          <w:lang w:val="en-US" w:eastAsia="zh-CN"/>
        </w:rPr>
        <w:t>特定目标类项目支出中央农村环境整治资金1910万元列入了服务类采购预算。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40" w:firstLineChars="200"/>
        <w:jc w:val="both"/>
        <w:textAlignment w:val="auto"/>
        <w:rPr>
          <w:rFonts w:hint="eastAsia" w:ascii="楷体_GB2312" w:hAnsi="楷体_GB2312" w:eastAsia="楷体_GB2312" w:cs="楷体_GB2312"/>
          <w:i w:val="0"/>
          <w:caps w:val="0"/>
          <w:color w:val="333333"/>
          <w:spacing w:val="0"/>
          <w:sz w:val="27"/>
          <w:szCs w:val="27"/>
          <w:lang w:eastAsia="zh-CN"/>
        </w:rPr>
      </w:pPr>
      <w:r>
        <w:rPr>
          <w:rFonts w:hint="eastAsia" w:ascii="楷体_GB2312" w:hAnsi="楷体_GB2312" w:eastAsia="楷体_GB2312" w:cs="楷体_GB2312"/>
          <w:i w:val="0"/>
          <w:caps w:val="0"/>
          <w:color w:val="333333"/>
          <w:spacing w:val="0"/>
          <w:sz w:val="27"/>
          <w:szCs w:val="27"/>
          <w:lang w:eastAsia="zh-CN"/>
        </w:rPr>
        <w:t>（五）国有资产占用及增减变化情况说明</w:t>
      </w:r>
    </w:p>
    <w:p>
      <w:pPr>
        <w:pStyle w:val="13"/>
        <w:bidi w:val="0"/>
        <w:rPr>
          <w:rFonts w:hint="eastAsia"/>
          <w:lang w:eastAsia="zh-CN"/>
        </w:rPr>
      </w:pPr>
      <w:r>
        <w:rPr>
          <w:rFonts w:hint="eastAsia"/>
          <w:lang w:eastAsia="zh-CN"/>
        </w:rPr>
        <w:t>截至20</w:t>
      </w:r>
      <w:r>
        <w:rPr>
          <w:rFonts w:hint="eastAsia"/>
          <w:lang w:val="en-US" w:eastAsia="zh-CN"/>
        </w:rPr>
        <w:t>23</w:t>
      </w:r>
      <w:r>
        <w:rPr>
          <w:rFonts w:hint="eastAsia"/>
          <w:lang w:eastAsia="zh-CN"/>
        </w:rPr>
        <w:t>年12月31日，本部门保有车辆共有</w:t>
      </w:r>
      <w:r>
        <w:rPr>
          <w:rFonts w:hint="eastAsia"/>
          <w:lang w:val="en-US" w:eastAsia="zh-CN"/>
        </w:rPr>
        <w:t>9</w:t>
      </w:r>
      <w:r>
        <w:rPr>
          <w:rFonts w:hint="eastAsia"/>
          <w:lang w:eastAsia="zh-CN"/>
        </w:rPr>
        <w:t>辆，其中，领导干部用车</w:t>
      </w:r>
      <w:r>
        <w:rPr>
          <w:rFonts w:hint="eastAsia"/>
          <w:lang w:val="en-US" w:eastAsia="zh-CN"/>
        </w:rPr>
        <w:t>0</w:t>
      </w:r>
      <w:r>
        <w:rPr>
          <w:rFonts w:hint="eastAsia"/>
          <w:lang w:eastAsia="zh-CN"/>
        </w:rPr>
        <w:t>辆，一般公务用车</w:t>
      </w:r>
      <w:r>
        <w:rPr>
          <w:rFonts w:hint="eastAsia"/>
          <w:lang w:val="en-US" w:eastAsia="zh-CN"/>
        </w:rPr>
        <w:t>0</w:t>
      </w:r>
      <w:r>
        <w:rPr>
          <w:rFonts w:hint="eastAsia"/>
          <w:lang w:eastAsia="zh-CN"/>
        </w:rPr>
        <w:t>辆、特种专业技术用车</w:t>
      </w:r>
      <w:r>
        <w:rPr>
          <w:rFonts w:hint="eastAsia"/>
          <w:lang w:val="en-US" w:eastAsia="zh-CN"/>
        </w:rPr>
        <w:t>3</w:t>
      </w:r>
      <w:r>
        <w:rPr>
          <w:rFonts w:hint="eastAsia"/>
          <w:lang w:eastAsia="zh-CN"/>
        </w:rPr>
        <w:t>辆，其他用车</w:t>
      </w:r>
      <w:r>
        <w:rPr>
          <w:rFonts w:hint="eastAsia"/>
          <w:lang w:val="en-US" w:eastAsia="zh-CN"/>
        </w:rPr>
        <w:t>6</w:t>
      </w:r>
      <w:r>
        <w:rPr>
          <w:rFonts w:hint="eastAsia"/>
          <w:lang w:eastAsia="zh-CN"/>
        </w:rPr>
        <w:t>辆，其他用车主要是机要通信用车</w:t>
      </w:r>
      <w:r>
        <w:rPr>
          <w:rFonts w:hint="eastAsia"/>
          <w:lang w:val="en-US" w:eastAsia="zh-CN"/>
        </w:rPr>
        <w:t>0</w:t>
      </w:r>
      <w:r>
        <w:rPr>
          <w:rFonts w:hint="eastAsia"/>
          <w:lang w:eastAsia="zh-CN"/>
        </w:rPr>
        <w:t>台，应急公务用车</w:t>
      </w:r>
      <w:r>
        <w:rPr>
          <w:rFonts w:hint="eastAsia"/>
          <w:lang w:val="en-US" w:eastAsia="zh-CN"/>
        </w:rPr>
        <w:t>6</w:t>
      </w:r>
      <w:r>
        <w:rPr>
          <w:rFonts w:hint="eastAsia"/>
          <w:lang w:eastAsia="zh-CN"/>
        </w:rPr>
        <w:t>台，离退休干部服务用车</w:t>
      </w:r>
      <w:r>
        <w:rPr>
          <w:rFonts w:hint="eastAsia"/>
          <w:lang w:val="en-US" w:eastAsia="zh-CN"/>
        </w:rPr>
        <w:t>0</w:t>
      </w:r>
      <w:r>
        <w:rPr>
          <w:rFonts w:hint="eastAsia"/>
          <w:lang w:eastAsia="zh-CN"/>
        </w:rPr>
        <w:t>台；单位价值50万元以上通用设备</w:t>
      </w:r>
      <w:r>
        <w:rPr>
          <w:rFonts w:hint="eastAsia"/>
          <w:lang w:val="en-US" w:eastAsia="zh-CN"/>
        </w:rPr>
        <w:t>0</w:t>
      </w:r>
      <w:r>
        <w:rPr>
          <w:rFonts w:hint="eastAsia"/>
          <w:lang w:eastAsia="zh-CN"/>
        </w:rPr>
        <w:t>台（套）。单价100万元以上专用设备</w:t>
      </w:r>
      <w:r>
        <w:rPr>
          <w:rFonts w:hint="eastAsia"/>
          <w:lang w:val="en-US" w:eastAsia="zh-CN"/>
        </w:rPr>
        <w:t>0</w:t>
      </w:r>
      <w:r>
        <w:rPr>
          <w:rFonts w:hint="eastAsia"/>
          <w:lang w:eastAsia="zh-CN"/>
        </w:rPr>
        <w:t>套。较20</w:t>
      </w:r>
      <w:r>
        <w:rPr>
          <w:rFonts w:hint="eastAsia"/>
          <w:lang w:val="en-US" w:eastAsia="zh-CN"/>
        </w:rPr>
        <w:t>23</w:t>
      </w:r>
      <w:r>
        <w:rPr>
          <w:rFonts w:hint="eastAsia"/>
          <w:lang w:eastAsia="zh-CN"/>
        </w:rPr>
        <w:t>年初增加</w:t>
      </w:r>
      <w:r>
        <w:rPr>
          <w:rFonts w:hint="eastAsia"/>
          <w:lang w:val="en-US" w:eastAsia="zh-CN"/>
        </w:rPr>
        <w:t>1</w:t>
      </w:r>
      <w:r>
        <w:rPr>
          <w:rFonts w:hint="eastAsia"/>
          <w:lang w:eastAsia="zh-CN"/>
        </w:rPr>
        <w:t>台特种专业技术用车</w:t>
      </w:r>
      <w:r>
        <w:rPr>
          <w:rFonts w:hint="eastAsia"/>
          <w:lang w:val="en-US" w:eastAsia="zh-CN"/>
        </w:rPr>
        <w:t>27万元</w:t>
      </w:r>
      <w:r>
        <w:rPr>
          <w:rFonts w:hint="eastAsia"/>
          <w:lang w:eastAsia="zh-CN"/>
        </w:rPr>
        <w:t>，其他资产变化如下：办公设备购置</w:t>
      </w:r>
      <w:r>
        <w:rPr>
          <w:rFonts w:hint="eastAsia"/>
          <w:lang w:val="en-US" w:eastAsia="zh-CN"/>
        </w:rPr>
        <w:t>66.59万元，专用设备购置45.18万元,家具用具购置1.77万元</w:t>
      </w:r>
      <w:r>
        <w:rPr>
          <w:rFonts w:hint="eastAsia"/>
          <w:lang w:eastAsia="zh-CN"/>
        </w:rPr>
        <w:t>。</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40" w:firstLineChars="200"/>
        <w:jc w:val="both"/>
        <w:textAlignment w:val="auto"/>
        <w:rPr>
          <w:rFonts w:hint="eastAsia" w:ascii="楷体_GB2312" w:hAnsi="楷体_GB2312" w:eastAsia="楷体_GB2312" w:cs="楷体_GB2312"/>
          <w:i w:val="0"/>
          <w:caps w:val="0"/>
          <w:color w:val="333333"/>
          <w:spacing w:val="0"/>
          <w:sz w:val="27"/>
          <w:szCs w:val="27"/>
          <w:lang w:eastAsia="zh-CN"/>
        </w:rPr>
      </w:pPr>
      <w:r>
        <w:rPr>
          <w:rFonts w:hint="eastAsia" w:ascii="楷体_GB2312" w:hAnsi="楷体_GB2312" w:eastAsia="楷体_GB2312" w:cs="楷体_GB2312"/>
          <w:i w:val="0"/>
          <w:caps w:val="0"/>
          <w:color w:val="333333"/>
          <w:spacing w:val="0"/>
          <w:sz w:val="27"/>
          <w:szCs w:val="27"/>
          <w:lang w:eastAsia="zh-CN"/>
        </w:rPr>
        <w:t>（六）政府购买服务安排及增减变化情况说明</w:t>
      </w:r>
    </w:p>
    <w:p>
      <w:pPr>
        <w:pStyle w:val="13"/>
        <w:bidi w:val="0"/>
        <w:rPr>
          <w:rFonts w:hint="eastAsia" w:ascii="仿宋_GB2312" w:hAnsi="仿宋_GB2312" w:eastAsia="仿宋_GB2312" w:cs="仿宋_GB2312"/>
          <w:i w:val="0"/>
          <w:caps w:val="0"/>
          <w:color w:val="333333"/>
          <w:spacing w:val="0"/>
          <w:szCs w:val="27"/>
          <w:lang w:val="en-US" w:eastAsia="zh-CN"/>
        </w:rPr>
      </w:pPr>
      <w:r>
        <w:rPr>
          <w:rFonts w:hint="eastAsia"/>
          <w:lang w:eastAsia="zh-CN"/>
        </w:rPr>
        <w:t>2024年，我单位政府购买服务预算</w:t>
      </w:r>
      <w:r>
        <w:rPr>
          <w:rFonts w:hint="eastAsia"/>
          <w:lang w:val="en-US" w:eastAsia="zh-CN"/>
        </w:rPr>
        <w:t>0</w:t>
      </w:r>
      <w:r>
        <w:rPr>
          <w:rFonts w:hint="eastAsia"/>
          <w:lang w:eastAsia="zh-CN"/>
        </w:rPr>
        <w:t>万元（含局机关</w:t>
      </w:r>
      <w:r>
        <w:rPr>
          <w:rFonts w:hint="eastAsia"/>
          <w:lang w:val="en-US" w:eastAsia="zh-CN"/>
        </w:rPr>
        <w:t>0</w:t>
      </w:r>
      <w:r>
        <w:rPr>
          <w:rFonts w:hint="eastAsia"/>
          <w:lang w:eastAsia="zh-CN"/>
        </w:rPr>
        <w:t>万元、所属单位</w:t>
      </w:r>
      <w:r>
        <w:rPr>
          <w:rFonts w:hint="eastAsia"/>
          <w:lang w:val="en-US" w:eastAsia="zh-CN"/>
        </w:rPr>
        <w:t>0</w:t>
      </w:r>
      <w:r>
        <w:rPr>
          <w:rFonts w:hint="eastAsia"/>
          <w:lang w:eastAsia="zh-CN"/>
        </w:rPr>
        <w:t>万元）。比上年增加（减少）</w:t>
      </w:r>
      <w:r>
        <w:rPr>
          <w:rFonts w:hint="eastAsia"/>
          <w:lang w:val="en-US" w:eastAsia="zh-CN"/>
        </w:rPr>
        <w:t>0</w:t>
      </w:r>
      <w:r>
        <w:rPr>
          <w:rFonts w:hint="eastAsia"/>
          <w:lang w:eastAsia="zh-CN"/>
        </w:rPr>
        <w:t>万元,增长（下降）</w:t>
      </w:r>
      <w:r>
        <w:rPr>
          <w:rFonts w:hint="eastAsia"/>
          <w:lang w:val="en-US" w:eastAsia="zh-CN"/>
        </w:rPr>
        <w:t>0</w:t>
      </w:r>
      <w:r>
        <w:rPr>
          <w:rFonts w:hint="eastAsia"/>
          <w:lang w:eastAsia="zh-CN"/>
        </w:rPr>
        <w:t>%。增长（下降）原因：</w:t>
      </w:r>
      <w:r>
        <w:rPr>
          <w:rFonts w:hint="eastAsia"/>
          <w:lang w:val="en-US" w:eastAsia="zh-CN"/>
        </w:rPr>
        <w:t>本年度未安排预算。</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540" w:firstLineChars="200"/>
        <w:jc w:val="both"/>
        <w:textAlignment w:val="auto"/>
        <w:rPr>
          <w:rFonts w:hint="eastAsia" w:ascii="楷体_GB2312" w:hAnsi="楷体_GB2312" w:eastAsia="楷体_GB2312" w:cs="楷体_GB2312"/>
          <w:i w:val="0"/>
          <w:caps w:val="0"/>
          <w:color w:val="333333"/>
          <w:spacing w:val="0"/>
          <w:sz w:val="27"/>
          <w:szCs w:val="27"/>
          <w:lang w:eastAsia="zh-CN"/>
        </w:rPr>
      </w:pPr>
      <w:r>
        <w:rPr>
          <w:rFonts w:hint="eastAsia" w:ascii="楷体_GB2312" w:hAnsi="楷体_GB2312" w:eastAsia="楷体_GB2312" w:cs="楷体_GB2312"/>
          <w:i w:val="0"/>
          <w:caps w:val="0"/>
          <w:color w:val="333333"/>
          <w:spacing w:val="0"/>
          <w:sz w:val="27"/>
          <w:szCs w:val="27"/>
          <w:lang w:eastAsia="zh-CN"/>
        </w:rPr>
        <w:t>（七）政府性基金预算支出情况说明</w:t>
      </w:r>
    </w:p>
    <w:p>
      <w:pPr>
        <w:pStyle w:val="13"/>
        <w:bidi w:val="0"/>
        <w:rPr>
          <w:rFonts w:hint="eastAsia"/>
          <w:lang w:eastAsia="zh-CN"/>
        </w:rPr>
      </w:pPr>
      <w:r>
        <w:rPr>
          <w:rFonts w:hint="eastAsia"/>
          <w:lang w:eastAsia="zh-CN"/>
        </w:rPr>
        <w:t>本单位无政府性基金支出</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left="0" w:right="0" w:firstLine="540" w:firstLineChars="200"/>
        <w:jc w:val="both"/>
        <w:textAlignment w:val="auto"/>
        <w:rPr>
          <w:rFonts w:hint="eastAsia" w:ascii="楷体_GB2312" w:hAnsi="楷体_GB2312" w:eastAsia="楷体_GB2312" w:cs="楷体_GB2312"/>
          <w:i w:val="0"/>
          <w:caps w:val="0"/>
          <w:color w:val="333333"/>
          <w:spacing w:val="0"/>
          <w:sz w:val="27"/>
          <w:szCs w:val="27"/>
          <w:lang w:eastAsia="zh-CN"/>
        </w:rPr>
      </w:pPr>
      <w:r>
        <w:rPr>
          <w:rFonts w:hint="eastAsia" w:ascii="楷体_GB2312" w:hAnsi="楷体_GB2312" w:eastAsia="楷体_GB2312" w:cs="楷体_GB2312"/>
          <w:i w:val="0"/>
          <w:caps w:val="0"/>
          <w:color w:val="333333"/>
          <w:spacing w:val="0"/>
          <w:sz w:val="27"/>
          <w:szCs w:val="27"/>
          <w:lang w:eastAsia="zh-CN"/>
        </w:rPr>
        <w:t>（八）2024年部门预算绩效情况说明</w:t>
      </w:r>
    </w:p>
    <w:p>
      <w:pPr>
        <w:pStyle w:val="13"/>
        <w:bidi w:val="0"/>
        <w:rPr>
          <w:rFonts w:hint="eastAsia"/>
          <w:lang w:eastAsia="zh-CN"/>
        </w:rPr>
      </w:pPr>
      <w:r>
        <w:rPr>
          <w:rFonts w:hint="eastAsia"/>
          <w:lang w:eastAsia="zh-CN"/>
        </w:rPr>
        <w:t>部门预算绩效开展情况：2024咸宁市生态环境局赤壁市分局项目支出</w:t>
      </w:r>
      <w:r>
        <w:rPr>
          <w:rFonts w:hint="eastAsia"/>
          <w:lang w:val="en-US" w:eastAsia="zh-CN"/>
        </w:rPr>
        <w:t>8487.02</w:t>
      </w:r>
      <w:r>
        <w:rPr>
          <w:rFonts w:hint="eastAsia"/>
          <w:lang w:eastAsia="zh-CN"/>
        </w:rPr>
        <w:t>万元，各项目均按照预算绩效管理工作的要求，开展绩效目标编制及评审、绩效监控、绩效评价等工作，并关注项目目标与预算内容、工作计划的一致性，形成了科学合理、规范完整且可量化、可评价的指标体系。</w:t>
      </w:r>
    </w:p>
    <w:p>
      <w:pPr>
        <w:pStyle w:val="7"/>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firstLine="542" w:firstLineChars="200"/>
        <w:jc w:val="both"/>
        <w:textAlignment w:val="auto"/>
        <w:rPr>
          <w:rFonts w:hint="eastAsia" w:ascii="仿宋_GB2312" w:hAnsi="仿宋_GB2312" w:eastAsia="仿宋_GB2312" w:cs="仿宋_GB2312"/>
          <w:b/>
          <w:bCs/>
          <w:i w:val="0"/>
          <w:caps w:val="0"/>
          <w:color w:val="333333"/>
          <w:spacing w:val="0"/>
          <w:sz w:val="27"/>
          <w:szCs w:val="27"/>
          <w:lang w:eastAsia="zh-CN"/>
        </w:rPr>
      </w:pPr>
      <w:r>
        <w:rPr>
          <w:rFonts w:hint="eastAsia" w:ascii="仿宋_GB2312" w:hAnsi="仿宋_GB2312" w:eastAsia="仿宋_GB2312" w:cs="仿宋_GB2312"/>
          <w:b/>
          <w:bCs/>
          <w:i w:val="0"/>
          <w:caps w:val="0"/>
          <w:color w:val="333333"/>
          <w:spacing w:val="0"/>
          <w:sz w:val="27"/>
          <w:szCs w:val="27"/>
          <w:lang w:eastAsia="zh-CN"/>
        </w:rPr>
        <w:t>重点项目预算的绩效目标：</w:t>
      </w:r>
    </w:p>
    <w:p>
      <w:pPr>
        <w:pStyle w:val="13"/>
        <w:numPr>
          <w:ilvl w:val="0"/>
          <w:numId w:val="3"/>
        </w:numPr>
        <w:bidi w:val="0"/>
        <w:rPr>
          <w:rFonts w:hint="eastAsia"/>
          <w:b/>
          <w:bCs/>
          <w:lang w:val="en-US" w:eastAsia="zh-CN"/>
        </w:rPr>
      </w:pPr>
      <w:r>
        <w:rPr>
          <w:rFonts w:hint="eastAsia"/>
          <w:b/>
          <w:bCs/>
          <w:lang w:eastAsia="zh-CN"/>
        </w:rPr>
        <w:t>水污染防治项目</w:t>
      </w:r>
      <w:r>
        <w:rPr>
          <w:rFonts w:hint="eastAsia"/>
          <w:b/>
          <w:bCs/>
          <w:lang w:val="en-US" w:eastAsia="zh-CN"/>
        </w:rPr>
        <w:t>4772.12万元</w:t>
      </w:r>
    </w:p>
    <w:p>
      <w:pPr>
        <w:pStyle w:val="13"/>
        <w:bidi w:val="0"/>
        <w:rPr>
          <w:rFonts w:hint="eastAsia"/>
          <w:lang w:val="en-US" w:eastAsia="zh-CN"/>
        </w:rPr>
      </w:pPr>
      <w:r>
        <w:rPr>
          <w:rFonts w:hint="eastAsia"/>
          <w:lang w:val="en-US" w:eastAsia="zh-CN"/>
        </w:rPr>
        <w:t>1、《赤壁市污水处理厂及城东污水处理厂尾水人工湿地水质净化工程项目（一期）尾水项目》能实现深度净化7.5万m3/d污水处理厂尾水，可分别为陆水河及赤马港提供6万m3/d、1.5万m3/d的优质补充水源；能实现目标区域范围内生态保护和修复，打造稳定健康的生态系统。2、《黄盖湖生态环境修复治理》黄盖湖流域水生态修复≥20公顷、黄盖湖流域沿线乡镇污水处理站及管网建设＝7个。3、赤壁市陆水河、西凉湖、黄盖湖排污口规范化建设；重点排污口排污口立行立改治理工程；15 个市控及以下湖泊排污口排查溯源。 4、羊楼洞小流域综合治理试点工作总体规划设计。</w:t>
      </w:r>
    </w:p>
    <w:p>
      <w:pPr>
        <w:pStyle w:val="13"/>
        <w:numPr>
          <w:ilvl w:val="0"/>
          <w:numId w:val="3"/>
        </w:numPr>
        <w:bidi w:val="0"/>
        <w:rPr>
          <w:rFonts w:hint="default"/>
          <w:b/>
          <w:bCs/>
          <w:lang w:val="en-US" w:eastAsia="zh-CN"/>
        </w:rPr>
      </w:pPr>
      <w:r>
        <w:rPr>
          <w:rFonts w:hint="default"/>
          <w:b/>
          <w:bCs/>
          <w:lang w:val="en-US" w:eastAsia="zh-CN"/>
        </w:rPr>
        <w:t>2022年中央农村环境整治资金（第二批）</w:t>
      </w:r>
      <w:r>
        <w:rPr>
          <w:rFonts w:hint="eastAsia"/>
          <w:b/>
          <w:bCs/>
          <w:lang w:val="en-US" w:eastAsia="zh-CN"/>
        </w:rPr>
        <w:t>1910万元</w:t>
      </w:r>
    </w:p>
    <w:p>
      <w:pPr>
        <w:pStyle w:val="13"/>
        <w:bidi w:val="0"/>
        <w:rPr>
          <w:rFonts w:hint="default"/>
          <w:lang w:val="en-US" w:eastAsia="zh-CN"/>
        </w:rPr>
      </w:pPr>
      <w:r>
        <w:rPr>
          <w:rFonts w:hint="default"/>
          <w:lang w:val="en-US" w:eastAsia="zh-CN"/>
        </w:rPr>
        <w:t>对赤壁市7条国家监管农村黑臭水体开展治理，经治理后，水体不黑不臭，河底无明显黑臭淤泥，岸边无垃圾，村庄人居环境质量明显提升，初步建立长效运维机制。</w:t>
      </w:r>
    </w:p>
    <w:p>
      <w:pPr>
        <w:pStyle w:val="13"/>
        <w:numPr>
          <w:ilvl w:val="0"/>
          <w:numId w:val="3"/>
        </w:numPr>
        <w:bidi w:val="0"/>
        <w:rPr>
          <w:rFonts w:hint="default"/>
          <w:b/>
          <w:bCs/>
          <w:lang w:val="en-US" w:eastAsia="zh-CN"/>
        </w:rPr>
      </w:pPr>
      <w:r>
        <w:rPr>
          <w:rFonts w:hint="default"/>
          <w:b/>
          <w:bCs/>
          <w:lang w:val="en-US" w:eastAsia="zh-CN"/>
        </w:rPr>
        <w:t>省级生态环境保护以奖代补资金</w:t>
      </w:r>
      <w:r>
        <w:rPr>
          <w:rFonts w:hint="eastAsia"/>
          <w:b/>
          <w:bCs/>
          <w:lang w:val="en-US" w:eastAsia="zh-CN"/>
        </w:rPr>
        <w:t>524万元</w:t>
      </w:r>
    </w:p>
    <w:p>
      <w:pPr>
        <w:pStyle w:val="13"/>
        <w:bidi w:val="0"/>
        <w:rPr>
          <w:rFonts w:hint="default"/>
          <w:lang w:val="en-US" w:eastAsia="zh-CN"/>
        </w:rPr>
      </w:pPr>
      <w:r>
        <w:rPr>
          <w:rFonts w:hint="default"/>
          <w:lang w:val="en-US" w:eastAsia="zh-CN"/>
        </w:rPr>
        <w:t>确保整治过的河流排口、农村生活污水治理村(户)、农村黑臭水体达到质量控制指标要求，实现人居环境有效改善，有效推进乡村振兴发展规划。</w:t>
      </w:r>
    </w:p>
    <w:p>
      <w:pPr>
        <w:pStyle w:val="13"/>
        <w:bidi w:val="0"/>
        <w:rPr>
          <w:rFonts w:hint="default"/>
          <w:b/>
          <w:bCs/>
          <w:lang w:val="en-US" w:eastAsia="zh-CN"/>
        </w:rPr>
      </w:pPr>
      <w:r>
        <w:rPr>
          <w:rFonts w:hint="eastAsia"/>
          <w:b/>
          <w:bCs/>
          <w:lang w:val="en-US" w:eastAsia="zh-CN"/>
        </w:rPr>
        <w:t>四、</w:t>
      </w:r>
      <w:r>
        <w:rPr>
          <w:rFonts w:hint="default"/>
          <w:b/>
          <w:bCs/>
          <w:lang w:val="en-US" w:eastAsia="zh-CN"/>
        </w:rPr>
        <w:t>陆水水库周边关闭煤矿地下水污染防治项目</w:t>
      </w:r>
      <w:r>
        <w:rPr>
          <w:rFonts w:hint="eastAsia"/>
          <w:b/>
          <w:bCs/>
          <w:lang w:val="en-US" w:eastAsia="zh-CN"/>
        </w:rPr>
        <w:t>390万元</w:t>
      </w:r>
    </w:p>
    <w:p>
      <w:pPr>
        <w:pStyle w:val="13"/>
        <w:bidi w:val="0"/>
        <w:rPr>
          <w:rFonts w:hint="eastAsia"/>
          <w:lang w:eastAsia="zh-CN"/>
        </w:rPr>
      </w:pPr>
      <w:r>
        <w:rPr>
          <w:rFonts w:hint="eastAsia"/>
          <w:lang w:val="en-US" w:eastAsia="zh-CN"/>
        </w:rPr>
        <w:t>设置地下水在线监测与预警系统，完成地下水原位预处理及溢流口的疏堵，完成管道的铺设及末端水处理工程。陆水水库入湖口水质达到地表水Ⅲ类标准,完成末端治理工程收尾、并进行工程试运行及验收。</w:t>
      </w:r>
    </w:p>
    <w:p>
      <w:pPr>
        <w:pStyle w:val="13"/>
        <w:bidi w:val="0"/>
        <w:rPr>
          <w:rFonts w:hint="default"/>
          <w:b/>
          <w:bCs/>
          <w:lang w:val="en-US" w:eastAsia="zh-CN"/>
        </w:rPr>
      </w:pPr>
      <w:r>
        <w:rPr>
          <w:rFonts w:hint="eastAsia"/>
          <w:b/>
          <w:bCs/>
          <w:lang w:val="en-US" w:eastAsia="zh-CN"/>
        </w:rPr>
        <w:t>五、</w:t>
      </w:r>
      <w:r>
        <w:rPr>
          <w:rFonts w:hint="default"/>
          <w:b/>
          <w:bCs/>
          <w:lang w:val="en-US" w:eastAsia="zh-CN"/>
        </w:rPr>
        <w:t>集中式饮用水源地环境整治和规范化建设</w:t>
      </w:r>
      <w:r>
        <w:rPr>
          <w:rFonts w:hint="eastAsia"/>
          <w:b/>
          <w:bCs/>
          <w:lang w:val="en-US" w:eastAsia="zh-CN"/>
        </w:rPr>
        <w:t>231万元</w:t>
      </w:r>
    </w:p>
    <w:p>
      <w:pPr>
        <w:pStyle w:val="13"/>
        <w:bidi w:val="0"/>
        <w:rPr>
          <w:rFonts w:hint="default"/>
          <w:lang w:val="en-US" w:eastAsia="zh-CN"/>
        </w:rPr>
      </w:pPr>
      <w:r>
        <w:rPr>
          <w:rFonts w:hint="default"/>
          <w:lang w:val="en-US" w:eastAsia="zh-CN"/>
        </w:rPr>
        <w:t>对神山镇张家坝水库、车埠镇燎燃水库、柳山湖镇松柏湖水库水源地保护区范围内生活污水进行收集治理，通过建设污水收集管网和污水处理终端设施建设，以及庭院式污水处理设施建设，对水源地保护区内直排的生活污水进行处理，达到《农村生活污水处理设施水污染物排放标准》（DB42/1537-2019）表1及表2中一级标准限值要求后排入人工湿地进行深度处理，减少生活污水对水源地水质的影响，保障水源地水质安全。</w:t>
      </w:r>
    </w:p>
    <w:p>
      <w:pPr>
        <w:pStyle w:val="13"/>
        <w:bidi w:val="0"/>
        <w:rPr>
          <w:rFonts w:hint="default"/>
          <w:lang w:val="en-US" w:eastAsia="zh-CN"/>
        </w:rPr>
      </w:pPr>
      <w:r>
        <w:rPr>
          <w:rFonts w:hint="default"/>
          <w:lang w:val="en-US" w:eastAsia="zh-CN"/>
        </w:rPr>
        <w:t>开展神山镇张家坝水库、车埠镇燎燃水库、柳山湖镇松柏湖水库水源地保护区范围内7个村湾生活污水的管网收集和集中式污水处理终端（或庭院式处理终端）建设，确保项目有序开展。</w:t>
      </w:r>
    </w:p>
    <w:p>
      <w:pPr>
        <w:pStyle w:val="13"/>
        <w:bidi w:val="0"/>
        <w:rPr>
          <w:rFonts w:hint="eastAsia"/>
          <w:b/>
          <w:bCs/>
          <w:lang w:val="en-US" w:eastAsia="zh-CN"/>
        </w:rPr>
      </w:pPr>
      <w:r>
        <w:rPr>
          <w:rFonts w:hint="eastAsia"/>
          <w:b/>
          <w:bCs/>
          <w:lang w:eastAsia="zh-CN"/>
        </w:rPr>
        <w:t>六、污染源监督性监测</w:t>
      </w:r>
      <w:r>
        <w:rPr>
          <w:rFonts w:hint="eastAsia"/>
          <w:b/>
          <w:bCs/>
          <w:lang w:val="en-US" w:eastAsia="zh-CN"/>
        </w:rPr>
        <w:t>146万元</w:t>
      </w:r>
    </w:p>
    <w:p>
      <w:pPr>
        <w:pStyle w:val="13"/>
        <w:bidi w:val="0"/>
        <w:rPr>
          <w:rFonts w:hint="eastAsia"/>
          <w:lang w:val="en-US" w:eastAsia="zh-CN"/>
        </w:rPr>
      </w:pPr>
      <w:r>
        <w:rPr>
          <w:rFonts w:hint="eastAsia"/>
          <w:lang w:val="en-US" w:eastAsia="zh-CN"/>
        </w:rPr>
        <w:t>1、加强重点污染源的环境管理，按照国家要求，开展赤壁市规模以上企业监督监测、重点淡水养殖废水水质监测、农村环境质量试点监测和重点区域土壤监测、污染纠纷处置监测及突发性环境事件应急监测服务工作。2、依法履行环保职责，为执法提供保障，打击超标排污环境违法行为。3、改善环境。4、根据监测数据，依法监督。</w:t>
      </w:r>
    </w:p>
    <w:p>
      <w:pPr>
        <w:pStyle w:val="13"/>
        <w:bidi w:val="0"/>
        <w:rPr>
          <w:rFonts w:hint="eastAsia"/>
          <w:b/>
          <w:bCs/>
          <w:lang w:val="en-US" w:eastAsia="zh-CN"/>
        </w:rPr>
      </w:pPr>
      <w:r>
        <w:rPr>
          <w:rFonts w:hint="eastAsia"/>
          <w:b/>
          <w:bCs/>
          <w:lang w:eastAsia="zh-CN"/>
        </w:rPr>
        <w:t>七、地表水环境质量监测</w:t>
      </w:r>
      <w:r>
        <w:rPr>
          <w:rFonts w:hint="eastAsia"/>
          <w:b/>
          <w:bCs/>
          <w:lang w:val="en-US" w:eastAsia="zh-CN"/>
        </w:rPr>
        <w:t>167万元</w:t>
      </w:r>
    </w:p>
    <w:p>
      <w:pPr>
        <w:pStyle w:val="13"/>
        <w:bidi w:val="0"/>
        <w:rPr>
          <w:rFonts w:hint="eastAsia"/>
          <w:lang w:val="en-US" w:eastAsia="zh-CN"/>
        </w:rPr>
      </w:pPr>
      <w:r>
        <w:rPr>
          <w:rFonts w:hint="eastAsia"/>
          <w:lang w:val="en-US" w:eastAsia="zh-CN"/>
        </w:rPr>
        <w:t>全面掌握我市辖区内24条河流、17个湖泊、132个水库共173个水体地表水环境质量状况以及陆水水库、陆水河、黄盖湖、西凉湖入河（湖）排污口水质状况，保护水生态环境，合理开发利用水资源，为我市生态文明建设以及水环境保护工作提供数据支撑；今年咸宁市长江入河排污口“一口一策”整治方案，对赤壁市28个长江排口水质进一步巩固和深化整治成效，查缺补漏。</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right="0" w:rightChars="0" w:firstLine="540" w:firstLineChars="200"/>
        <w:jc w:val="both"/>
        <w:textAlignment w:val="auto"/>
        <w:rPr>
          <w:rFonts w:hint="eastAsia" w:ascii="仿宋_GB2312" w:hAnsi="Times New Roman" w:eastAsia="仿宋_GB2312" w:cs="仿宋_GB2312"/>
          <w:i w:val="0"/>
          <w:caps w:val="0"/>
          <w:smallCaps w:val="0"/>
          <w:color w:val="333333"/>
          <w:spacing w:val="0"/>
          <w:kern w:val="0"/>
          <w:sz w:val="27"/>
          <w:szCs w:val="27"/>
          <w:lang w:val="en-US" w:eastAsia="zh-CN" w:bidi="ar-SA"/>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right="0" w:rightChars="0" w:firstLine="540" w:firstLineChars="200"/>
        <w:jc w:val="both"/>
        <w:textAlignment w:val="auto"/>
        <w:rPr>
          <w:rFonts w:hint="eastAsia" w:ascii="仿宋_GB2312" w:hAnsi="Times New Roman" w:eastAsia="仿宋_GB2312" w:cs="仿宋_GB2312"/>
          <w:i w:val="0"/>
          <w:caps w:val="0"/>
          <w:smallCaps w:val="0"/>
          <w:color w:val="333333"/>
          <w:spacing w:val="0"/>
          <w:kern w:val="0"/>
          <w:sz w:val="27"/>
          <w:szCs w:val="27"/>
          <w:lang w:val="en-US" w:eastAsia="zh-CN" w:bidi="ar-SA"/>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right="0" w:rightChars="0" w:firstLine="540" w:firstLineChars="200"/>
        <w:jc w:val="both"/>
        <w:textAlignment w:val="auto"/>
        <w:rPr>
          <w:rFonts w:hint="eastAsia" w:ascii="仿宋_GB2312" w:hAnsi="Times New Roman" w:eastAsia="仿宋_GB2312" w:cs="仿宋_GB2312"/>
          <w:i w:val="0"/>
          <w:caps w:val="0"/>
          <w:smallCaps w:val="0"/>
          <w:color w:val="333333"/>
          <w:spacing w:val="0"/>
          <w:kern w:val="0"/>
          <w:sz w:val="27"/>
          <w:szCs w:val="27"/>
          <w:lang w:val="en-US" w:eastAsia="zh-CN" w:bidi="ar-SA"/>
        </w:rPr>
      </w:pP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right="0" w:rightChars="0" w:firstLine="540" w:firstLineChars="200"/>
        <w:jc w:val="both"/>
        <w:textAlignment w:val="auto"/>
        <w:rPr>
          <w:rFonts w:hint="eastAsia" w:ascii="仿宋_GB2312" w:hAnsi="Times New Roman" w:eastAsia="仿宋_GB2312" w:cs="仿宋_GB2312"/>
          <w:i w:val="0"/>
          <w:caps w:val="0"/>
          <w:smallCaps w:val="0"/>
          <w:color w:val="333333"/>
          <w:spacing w:val="0"/>
          <w:kern w:val="0"/>
          <w:sz w:val="27"/>
          <w:szCs w:val="27"/>
          <w:lang w:val="en-US" w:eastAsia="zh-CN" w:bidi="ar-SA"/>
        </w:rPr>
      </w:pPr>
    </w:p>
    <w:p>
      <w:pPr>
        <w:pStyle w:val="7"/>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0" w:leftChars="0" w:right="0" w:firstLine="0" w:firstLineChars="0"/>
        <w:jc w:val="center"/>
        <w:textAlignment w:val="auto"/>
        <w:rPr>
          <w:rFonts w:hint="eastAsia" w:ascii="黑体" w:hAnsi="黑体" w:eastAsia="黑体" w:cs="黑体"/>
          <w:i w:val="0"/>
          <w:caps w:val="0"/>
          <w:color w:val="333333"/>
          <w:spacing w:val="0"/>
          <w:kern w:val="0"/>
          <w:sz w:val="36"/>
          <w:szCs w:val="36"/>
          <w:lang w:val="en-US" w:eastAsia="zh-CN" w:bidi="ar"/>
        </w:rPr>
      </w:pPr>
      <w:r>
        <w:rPr>
          <w:rFonts w:hint="eastAsia" w:ascii="黑体" w:hAnsi="黑体" w:eastAsia="黑体" w:cs="黑体"/>
          <w:i w:val="0"/>
          <w:caps w:val="0"/>
          <w:color w:val="333333"/>
          <w:spacing w:val="0"/>
          <w:kern w:val="0"/>
          <w:sz w:val="36"/>
          <w:szCs w:val="36"/>
          <w:lang w:val="en-US" w:eastAsia="zh-CN" w:bidi="ar"/>
        </w:rPr>
        <w:t>名词解释</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80" w:lineRule="exact"/>
        <w:ind w:leftChars="0" w:right="0" w:rightChars="0"/>
        <w:jc w:val="both"/>
        <w:textAlignment w:val="auto"/>
        <w:rPr>
          <w:rFonts w:hint="eastAsia" w:ascii="黑体" w:hAnsi="黑体" w:eastAsia="黑体" w:cs="黑体"/>
          <w:i w:val="0"/>
          <w:caps w:val="0"/>
          <w:color w:val="333333"/>
          <w:spacing w:val="0"/>
          <w:kern w:val="0"/>
          <w:sz w:val="27"/>
          <w:szCs w:val="27"/>
          <w:lang w:val="en-US" w:eastAsia="zh-CN" w:bidi="ar"/>
        </w:rPr>
      </w:pPr>
    </w:p>
    <w:p>
      <w:pPr>
        <w:pStyle w:val="13"/>
        <w:bidi w:val="0"/>
        <w:rPr>
          <w:rFonts w:hint="eastAsia"/>
          <w:lang w:eastAsia="zh-CN"/>
        </w:rPr>
      </w:pPr>
      <w:r>
        <w:rPr>
          <w:rFonts w:hint="eastAsia"/>
          <w:lang w:eastAsia="zh-CN"/>
        </w:rPr>
        <w:t>（一）财政拨款收入：指市本级财政当年拨付的资金。</w:t>
      </w:r>
    </w:p>
    <w:p>
      <w:pPr>
        <w:pStyle w:val="13"/>
        <w:bidi w:val="0"/>
        <w:rPr>
          <w:rFonts w:hint="eastAsia"/>
          <w:lang w:eastAsia="zh-CN"/>
        </w:rPr>
      </w:pPr>
      <w:r>
        <w:rPr>
          <w:rFonts w:hint="eastAsia"/>
          <w:lang w:eastAsia="zh-CN"/>
        </w:rPr>
        <w:t>（二）上级专项补助收入：指除上述“财政拨款收入”等以外的上级财政部门交办任务相应安排的资金。</w:t>
      </w:r>
    </w:p>
    <w:p>
      <w:pPr>
        <w:pStyle w:val="13"/>
        <w:bidi w:val="0"/>
        <w:rPr>
          <w:rFonts w:hint="eastAsia"/>
          <w:lang w:eastAsia="zh-CN"/>
        </w:rPr>
      </w:pPr>
      <w:r>
        <w:rPr>
          <w:rFonts w:hint="eastAsia"/>
          <w:lang w:eastAsia="zh-CN"/>
        </w:rPr>
        <w:t>（三）上年结余（转）：指上年度结余转入经费。</w:t>
      </w:r>
    </w:p>
    <w:p>
      <w:pPr>
        <w:pStyle w:val="13"/>
        <w:bidi w:val="0"/>
        <w:rPr>
          <w:rFonts w:hint="eastAsia"/>
          <w:lang w:eastAsia="zh-CN"/>
        </w:rPr>
      </w:pPr>
      <w:r>
        <w:rPr>
          <w:rFonts w:hint="eastAsia"/>
          <w:lang w:eastAsia="zh-CN"/>
        </w:rPr>
        <w:t>（四）一般公共服务（类）行政运行（项）：指</w:t>
      </w:r>
      <w:r>
        <w:rPr>
          <w:rFonts w:hint="eastAsia"/>
          <w:lang w:val="en-US" w:eastAsia="zh-CN"/>
        </w:rPr>
        <w:t>生态环境</w:t>
      </w:r>
      <w:r>
        <w:rPr>
          <w:rFonts w:hint="eastAsia"/>
          <w:lang w:eastAsia="zh-CN"/>
        </w:rPr>
        <w:t>部门机关及所属管理的事业单位用于保障机构正常运行、开展日常工作的基本支出。</w:t>
      </w:r>
    </w:p>
    <w:p>
      <w:pPr>
        <w:pStyle w:val="13"/>
        <w:bidi w:val="0"/>
        <w:rPr>
          <w:rFonts w:hint="eastAsia"/>
          <w:lang w:eastAsia="zh-CN"/>
        </w:rPr>
      </w:pPr>
      <w:r>
        <w:rPr>
          <w:rFonts w:hint="eastAsia"/>
          <w:lang w:eastAsia="zh-CN"/>
        </w:rPr>
        <w:t>（五）一般公共服务（类）一般行政管理（项）：指</w:t>
      </w:r>
      <w:r>
        <w:rPr>
          <w:rFonts w:hint="eastAsia"/>
          <w:lang w:val="en-US" w:eastAsia="zh-CN"/>
        </w:rPr>
        <w:t>生态环境</w:t>
      </w:r>
      <w:r>
        <w:rPr>
          <w:rFonts w:hint="eastAsia"/>
          <w:lang w:eastAsia="zh-CN"/>
        </w:rPr>
        <w:t>部门行政单位及参照公务员管理事业单位用于科研、监督检查、项目评审等项目支出。</w:t>
      </w:r>
    </w:p>
    <w:p>
      <w:pPr>
        <w:pStyle w:val="13"/>
        <w:bidi w:val="0"/>
        <w:rPr>
          <w:rFonts w:hint="eastAsia"/>
          <w:lang w:eastAsia="zh-CN"/>
        </w:rPr>
      </w:pPr>
      <w:r>
        <w:rPr>
          <w:rFonts w:hint="eastAsia"/>
          <w:lang w:eastAsia="zh-CN"/>
        </w:rPr>
        <w:t>（六）一般公共服务（类）机关服务（项）：指</w:t>
      </w:r>
      <w:r>
        <w:rPr>
          <w:rFonts w:hint="eastAsia"/>
          <w:lang w:val="en-US" w:eastAsia="zh-CN"/>
        </w:rPr>
        <w:t>生态环境</w:t>
      </w:r>
      <w:r>
        <w:rPr>
          <w:rFonts w:hint="eastAsia"/>
          <w:lang w:eastAsia="zh-CN"/>
        </w:rPr>
        <w:t>部门机关用于办公楼日常维修维护等后勤保障服务的项目支出。</w:t>
      </w:r>
    </w:p>
    <w:p>
      <w:pPr>
        <w:pStyle w:val="13"/>
        <w:bidi w:val="0"/>
        <w:rPr>
          <w:rFonts w:hint="eastAsia"/>
          <w:lang w:eastAsia="zh-CN"/>
        </w:rPr>
      </w:pPr>
      <w:r>
        <w:rPr>
          <w:rFonts w:hint="eastAsia"/>
          <w:lang w:eastAsia="zh-CN"/>
        </w:rPr>
        <w:t>（七）人员类项目支出：指</w:t>
      </w:r>
      <w:r>
        <w:rPr>
          <w:rFonts w:hint="eastAsia"/>
          <w:lang w:val="en-US" w:eastAsia="zh-CN"/>
        </w:rPr>
        <w:t>生态环境</w:t>
      </w:r>
      <w:r>
        <w:rPr>
          <w:rFonts w:hint="eastAsia"/>
          <w:lang w:eastAsia="zh-CN"/>
        </w:rPr>
        <w:t>部门和单位有关人员的工资福利支出、对个人和家庭的补助支出项目。</w:t>
      </w:r>
    </w:p>
    <w:p>
      <w:pPr>
        <w:pStyle w:val="13"/>
        <w:bidi w:val="0"/>
        <w:rPr>
          <w:rFonts w:hint="eastAsia"/>
          <w:lang w:eastAsia="zh-CN"/>
        </w:rPr>
      </w:pPr>
      <w:r>
        <w:rPr>
          <w:rFonts w:hint="eastAsia"/>
          <w:lang w:eastAsia="zh-CN"/>
        </w:rPr>
        <w:t>（八）运转类项目支出：指为保障部门单位自身正常运转、完成日常工作任务所发生的公用经费项目和专项用于大型公用设施、大型专用设备、专业信息系统运行维护等的其他运转类项目。</w:t>
      </w:r>
    </w:p>
    <w:p>
      <w:pPr>
        <w:pStyle w:val="13"/>
        <w:bidi w:val="0"/>
        <w:rPr>
          <w:rFonts w:hint="eastAsia"/>
          <w:lang w:eastAsia="zh-CN"/>
        </w:rPr>
      </w:pPr>
      <w:r>
        <w:rPr>
          <w:rFonts w:hint="eastAsia"/>
          <w:lang w:eastAsia="zh-CN"/>
        </w:rPr>
        <w:t>（九）特定目标类项目：是指</w:t>
      </w:r>
      <w:r>
        <w:rPr>
          <w:rFonts w:hint="eastAsia"/>
          <w:lang w:val="en-US" w:eastAsia="zh-CN"/>
        </w:rPr>
        <w:t>生态环境</w:t>
      </w:r>
      <w:r>
        <w:rPr>
          <w:rFonts w:hint="eastAsia"/>
          <w:lang w:eastAsia="zh-CN"/>
        </w:rPr>
        <w:t>部门和单位为完成其特定的工作任务和事业发展目标所发生的支出项目。除人员类项目和运转类项目外，其他预算项目作为特定目标类项目管理。</w:t>
      </w:r>
    </w:p>
    <w:p>
      <w:pPr>
        <w:pStyle w:val="13"/>
        <w:bidi w:val="0"/>
        <w:rPr>
          <w:rFonts w:hint="eastAsia"/>
          <w:lang w:eastAsia="zh-CN"/>
        </w:rPr>
      </w:pPr>
      <w:r>
        <w:rPr>
          <w:rFonts w:hint="eastAsia"/>
          <w:lang w:eastAsia="zh-CN"/>
        </w:rPr>
        <w:t>（十）“三公”经费：指用财政拨款安排的因公出国（境）费、公务用车运行维护、公务接待费。其中，因公出国(境)费,指单位工作人员公务出国(境)的住宿费、差旅费、伙食补助费、杂费、培训费等支出；公务用车购置及运行费,指单位公务用车燃料费、维修费、过路过桥费、保险费等支出；公务接待费,指单位按规定开支的各类公务接待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（十一）本部门使用的支出功能分类科目(到项级)</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1.节能环保支出（类）环境保护管理事务（款）行政运行(项)：指行政单位（包括参照公务员法管理的事业单位）的基本支出。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2.节能环保支出（类）环境保护管理事务（款）一般行政管理事务（项）：指行政单位（包括参照公务员法管理的事业单位）未单独设置项级科目的其他项目支出。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3.节能环保支出（类）环境保护管理事务（款）生态环境保护宣传（项）：指生态环境部门环境保护宣传教育方面的支出。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4.节能环保支出（类）环境保护管理事务（款）其他环境保护管理事务支出（项）：指其他用于环境保护管理事务方面的支出。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5.节能环保支出（类）环境监测与监察（款）建设项目环评审查与监督（项）：指生态环境部门对建设类规划、建设项目的环境影响评价、评审，建设项目“三同时”监理、验收等方面的支出。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6.节能环保支出（类）污染防治（款）大气（项）：指在治理空气污染、汽车尾气、酸雨、二氧化硫、沙尘暴等方面的支出。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7.节能环保支出（类）污染防治（款）水体（项）：指在排水、污水处理、水污染防治、湖库生态环境保护、水源地保护、国土江河综合整治、河流治理与保护、地下水修复与保护等方面的支出。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8.节能环保支出（类）污染防治（款）固体废弃物与化学品（项）：指在垃圾、医疗废物、危险废物及工业废弃物处置处理等方面的支出，持久性有机污染物监管及淘汰处置支出等。</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9.节能环保支出（类）污染防治（款）土壤（项）：指在土壤污染调查、风险管控、治理与修复等方面的支出。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10.节能环保支出（类）自然生态保护（款）生态保护（项）：指用于生态功能保护区、生态示范区、生态省（市、县）管理及能力建设、日常管护、宣教、试点示范等支出，生态修复支出，资源开发生态监管等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11.节能环保支出（类）污染减排（款）生态环境监测与信息（项）：指环境监测和信息方面的支出，包括环境质量监测、污染治理设施竣工验收监测、污染源监督性监测、污染事故应急监测和污染纠纷监测等支出，环境统计和调查、环境质量评价、绿色国民经济核算等支出，环境信息系统建设、维护、运行、信息发布及其技术支持等方面的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firstLine="540" w:firstLineChars="200"/>
        <w:jc w:val="both"/>
        <w:textAlignment w:val="auto"/>
        <w:rPr>
          <w:rFonts w:hint="eastAsia" w:ascii="仿宋" w:hAnsi="仿宋" w:eastAsia="仿宋" w:cs="仿宋"/>
          <w:color w:val="333333"/>
          <w:kern w:val="0"/>
          <w:sz w:val="27"/>
          <w:szCs w:val="27"/>
          <w:lang w:val="en-US" w:eastAsia="zh-CN" w:bidi="ar"/>
        </w:rPr>
      </w:pPr>
      <w:r>
        <w:rPr>
          <w:rFonts w:hint="eastAsia" w:ascii="仿宋" w:hAnsi="仿宋" w:eastAsia="仿宋" w:cs="仿宋"/>
          <w:color w:val="333333"/>
          <w:kern w:val="0"/>
          <w:sz w:val="27"/>
          <w:szCs w:val="27"/>
          <w:lang w:val="en-US" w:eastAsia="zh-CN" w:bidi="ar"/>
        </w:rPr>
        <w:t>12.节能环保支出（类）污染减排（款）减排专项支出（项）：指用减排专项资金安排的支出。</w:t>
      </w:r>
    </w:p>
    <w:p>
      <w:pPr>
        <w:pStyle w:val="7"/>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00" w:lineRule="exact"/>
        <w:ind w:right="0" w:rightChars="0"/>
        <w:jc w:val="both"/>
        <w:textAlignment w:val="auto"/>
        <w:rPr>
          <w:rFonts w:hint="eastAsia" w:ascii="仿宋" w:hAnsi="仿宋" w:eastAsia="仿宋" w:cs="仿宋"/>
          <w:color w:val="333333"/>
          <w:kern w:val="0"/>
          <w:sz w:val="27"/>
          <w:szCs w:val="27"/>
          <w:lang w:val="en-US" w:eastAsia="zh-CN" w:bidi="ar"/>
        </w:rPr>
      </w:pPr>
    </w:p>
    <w:p>
      <w:pPr>
        <w:pStyle w:val="13"/>
        <w:bidi w:val="0"/>
        <w:rPr>
          <w:rFonts w:hint="eastAsia" w:ascii="仿宋" w:hAnsi="仿宋" w:eastAsia="仿宋" w:cs="仿宋"/>
          <w:color w:val="333333"/>
          <w:kern w:val="0"/>
          <w:sz w:val="27"/>
          <w:szCs w:val="27"/>
          <w:lang w:val="en-US" w:eastAsia="zh-CN" w:bidi="ar"/>
        </w:rPr>
      </w:pP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F80F232-386A-4034-AA22-CA31302A4C79}"/>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
    <w:panose1 w:val="02010609060101010101"/>
    <w:charset w:val="86"/>
    <w:family w:val="modern"/>
    <w:pitch w:val="default"/>
    <w:sig w:usb0="800002BF" w:usb1="38CF7CFA" w:usb2="00000016" w:usb3="00000000" w:csb0="00040001" w:csb1="00000000"/>
    <w:embedRegular r:id="rId2" w:fontKey="{63FECB38-B6DE-4C5C-B0C2-D7FD1CD00964}"/>
  </w:font>
  <w:font w:name="方正小标宋简体">
    <w:panose1 w:val="02000000000000000000"/>
    <w:charset w:val="86"/>
    <w:family w:val="auto"/>
    <w:pitch w:val="default"/>
    <w:sig w:usb0="00000001" w:usb1="08000000" w:usb2="00000000" w:usb3="00000000" w:csb0="00040000" w:csb1="00000000"/>
    <w:embedRegular r:id="rId3" w:fontKey="{6FCBBFE5-9A1B-4087-A150-B3DC29EA9AEB}"/>
  </w:font>
  <w:font w:name="楷体_GB2312">
    <w:altName w:val="楷体"/>
    <w:panose1 w:val="02010609030101010101"/>
    <w:charset w:val="86"/>
    <w:family w:val="auto"/>
    <w:pitch w:val="default"/>
    <w:sig w:usb0="00000000" w:usb1="00000000" w:usb2="00000000" w:usb3="00000000" w:csb0="00040000" w:csb1="00000000"/>
    <w:embedRegular r:id="rId4" w:fontKey="{AF2ACCB5-FD21-405F-A192-6998D27D0A0D}"/>
  </w:font>
  <w:font w:name="仿宋_GB2312">
    <w:panose1 w:val="02010609030101010101"/>
    <w:charset w:val="86"/>
    <w:family w:val="modern"/>
    <w:pitch w:val="default"/>
    <w:sig w:usb0="00000001" w:usb1="080E0000" w:usb2="00000000" w:usb3="00000000" w:csb0="00040000" w:csb1="00000000"/>
    <w:embedRegular r:id="rId5" w:fontKey="{70A33C3D-5FAB-41C1-A2D9-EA4783F69F19}"/>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72nYyAgAAYwQAAA4AAABkcnMvZTJvRG9jLnhtbK1UzY7TMBC+I/EO&#10;lu80aRFL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SYphGxU8/vp9+&#10;Ppx+fSM4g0CNCzPE3TtExvadbRE8nAccJt5t5XX6ghGBH/IeL/KKNhKeLk0n02kOF4dv2AA/e7zu&#10;fIjvhdUkGQX1qF8nKztsQuxDh5CUzdi1VKqroTKkKejV6z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pPvadjICAABjBAAADgAAAAAAAAABACAAAAAfAQAAZHJzL2Uyb0RvYy54bWxQSwUG&#10;AAAAAAYABgBZAQAAwwUAAAAA&#10;">
              <v:fill on="f" focussize="0,0"/>
              <v:stroke on="f" weight="0.5pt"/>
              <v:imagedata o:title=""/>
              <o:lock v:ext="edit" aspectratio="f"/>
              <v:textbox inset="0mm,0mm,0mm,0mm" style="mso-fit-shape-to-text:t;">
                <w:txbxContent>
                  <w:p>
                    <w:pPr>
                      <w:pStyle w:val="5"/>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BE5272"/>
    <w:multiLevelType w:val="singleLevel"/>
    <w:tmpl w:val="82BE5272"/>
    <w:lvl w:ilvl="0" w:tentative="0">
      <w:start w:val="2"/>
      <w:numFmt w:val="chineseCounting"/>
      <w:suff w:val="nothing"/>
      <w:lvlText w:val="（%1）"/>
      <w:lvlJc w:val="left"/>
      <w:rPr>
        <w:rFonts w:hint="eastAsia"/>
      </w:rPr>
    </w:lvl>
  </w:abstractNum>
  <w:abstractNum w:abstractNumId="1">
    <w:nsid w:val="9779AD1A"/>
    <w:multiLevelType w:val="singleLevel"/>
    <w:tmpl w:val="9779AD1A"/>
    <w:lvl w:ilvl="0" w:tentative="0">
      <w:start w:val="1"/>
      <w:numFmt w:val="chineseCounting"/>
      <w:suff w:val="space"/>
      <w:lvlText w:val="第%1部分"/>
      <w:lvlJc w:val="left"/>
      <w:rPr>
        <w:rFonts w:hint="eastAsia"/>
      </w:rPr>
    </w:lvl>
  </w:abstractNum>
  <w:abstractNum w:abstractNumId="2">
    <w:nsid w:val="37103E1C"/>
    <w:multiLevelType w:val="singleLevel"/>
    <w:tmpl w:val="37103E1C"/>
    <w:lvl w:ilvl="0" w:tentative="0">
      <w:start w:val="1"/>
      <w:numFmt w:val="chineseCounting"/>
      <w:suff w:val="nothing"/>
      <w:lvlText w:val="%1、"/>
      <w:lvlJc w:val="left"/>
      <w:rPr>
        <w:rFonts w:hint="eastAsia"/>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mUwYzI1NDA5YWEwNjJkNjdkNWI0NDcyZGM0MmViZTIifQ=="/>
  </w:docVars>
  <w:rsids>
    <w:rsidRoot w:val="63EF0CEA"/>
    <w:rsid w:val="003532FE"/>
    <w:rsid w:val="016B1759"/>
    <w:rsid w:val="01AA727F"/>
    <w:rsid w:val="01B000EA"/>
    <w:rsid w:val="03016292"/>
    <w:rsid w:val="034A3564"/>
    <w:rsid w:val="061050F6"/>
    <w:rsid w:val="07083BAF"/>
    <w:rsid w:val="076A49AB"/>
    <w:rsid w:val="081608A9"/>
    <w:rsid w:val="08E75325"/>
    <w:rsid w:val="09066771"/>
    <w:rsid w:val="094F666A"/>
    <w:rsid w:val="0A242ABF"/>
    <w:rsid w:val="0BF73B5D"/>
    <w:rsid w:val="0C1464BD"/>
    <w:rsid w:val="0C5B5C79"/>
    <w:rsid w:val="0D0D6967"/>
    <w:rsid w:val="0D236648"/>
    <w:rsid w:val="0DB93B0A"/>
    <w:rsid w:val="0E1C214E"/>
    <w:rsid w:val="0E23099D"/>
    <w:rsid w:val="0FC24482"/>
    <w:rsid w:val="126239DA"/>
    <w:rsid w:val="12EB19AA"/>
    <w:rsid w:val="137D2B9A"/>
    <w:rsid w:val="15632263"/>
    <w:rsid w:val="1A9377AB"/>
    <w:rsid w:val="1C58366E"/>
    <w:rsid w:val="1C9D4FDA"/>
    <w:rsid w:val="208732AA"/>
    <w:rsid w:val="21464F13"/>
    <w:rsid w:val="219E1A02"/>
    <w:rsid w:val="21A165ED"/>
    <w:rsid w:val="222A5B02"/>
    <w:rsid w:val="225B4E09"/>
    <w:rsid w:val="22820803"/>
    <w:rsid w:val="25157D5E"/>
    <w:rsid w:val="260A59DD"/>
    <w:rsid w:val="27A4270C"/>
    <w:rsid w:val="27D70D15"/>
    <w:rsid w:val="28D80AA0"/>
    <w:rsid w:val="2B8F5708"/>
    <w:rsid w:val="2DEB68B1"/>
    <w:rsid w:val="2F580D46"/>
    <w:rsid w:val="2F7075FF"/>
    <w:rsid w:val="2FC3678B"/>
    <w:rsid w:val="309C7EB6"/>
    <w:rsid w:val="326F7998"/>
    <w:rsid w:val="347D4D3B"/>
    <w:rsid w:val="35C44CB0"/>
    <w:rsid w:val="38A23D5C"/>
    <w:rsid w:val="394D2140"/>
    <w:rsid w:val="3A3F0418"/>
    <w:rsid w:val="3A887EF3"/>
    <w:rsid w:val="3C0356A1"/>
    <w:rsid w:val="3C667DC0"/>
    <w:rsid w:val="3D0433A8"/>
    <w:rsid w:val="3D9B483F"/>
    <w:rsid w:val="3E1A3557"/>
    <w:rsid w:val="3FFDD39E"/>
    <w:rsid w:val="40F956A6"/>
    <w:rsid w:val="411F04C2"/>
    <w:rsid w:val="42B75591"/>
    <w:rsid w:val="430450C5"/>
    <w:rsid w:val="44185E43"/>
    <w:rsid w:val="44187FAE"/>
    <w:rsid w:val="443F7874"/>
    <w:rsid w:val="44EA7896"/>
    <w:rsid w:val="45280575"/>
    <w:rsid w:val="46024FFD"/>
    <w:rsid w:val="46C7290E"/>
    <w:rsid w:val="46E6412F"/>
    <w:rsid w:val="47885C79"/>
    <w:rsid w:val="4964398E"/>
    <w:rsid w:val="4A590CCC"/>
    <w:rsid w:val="4CDC7ED3"/>
    <w:rsid w:val="4F1F6E71"/>
    <w:rsid w:val="51581F75"/>
    <w:rsid w:val="51F706DB"/>
    <w:rsid w:val="520619D1"/>
    <w:rsid w:val="52BC7A8F"/>
    <w:rsid w:val="53B63083"/>
    <w:rsid w:val="55405A1E"/>
    <w:rsid w:val="55464EF7"/>
    <w:rsid w:val="58532365"/>
    <w:rsid w:val="59570D64"/>
    <w:rsid w:val="599D0AA5"/>
    <w:rsid w:val="59A65848"/>
    <w:rsid w:val="5A7D18C9"/>
    <w:rsid w:val="5AB961CD"/>
    <w:rsid w:val="5B2829B8"/>
    <w:rsid w:val="5BD41C56"/>
    <w:rsid w:val="5BF612F8"/>
    <w:rsid w:val="5C180C7F"/>
    <w:rsid w:val="5C4F7380"/>
    <w:rsid w:val="604326ED"/>
    <w:rsid w:val="61CA2A1B"/>
    <w:rsid w:val="63EF0CEA"/>
    <w:rsid w:val="64E240A1"/>
    <w:rsid w:val="66F850DF"/>
    <w:rsid w:val="6763365A"/>
    <w:rsid w:val="67ED7A99"/>
    <w:rsid w:val="68D51CA5"/>
    <w:rsid w:val="69616496"/>
    <w:rsid w:val="6B4456C0"/>
    <w:rsid w:val="6C975BF0"/>
    <w:rsid w:val="6C9F1038"/>
    <w:rsid w:val="6CDF03DC"/>
    <w:rsid w:val="6E80153A"/>
    <w:rsid w:val="6FB22D40"/>
    <w:rsid w:val="6FBFBC03"/>
    <w:rsid w:val="6FF373A0"/>
    <w:rsid w:val="71AD1A11"/>
    <w:rsid w:val="72672C4C"/>
    <w:rsid w:val="734475D7"/>
    <w:rsid w:val="745F51EC"/>
    <w:rsid w:val="74E36C14"/>
    <w:rsid w:val="75E04B1D"/>
    <w:rsid w:val="75E34304"/>
    <w:rsid w:val="7A236D15"/>
    <w:rsid w:val="7BF700B4"/>
    <w:rsid w:val="7C7C44BA"/>
    <w:rsid w:val="7D7B7734"/>
    <w:rsid w:val="7D896B42"/>
    <w:rsid w:val="7E961ABB"/>
    <w:rsid w:val="7ECA2F29"/>
    <w:rsid w:val="7EFC7E47"/>
    <w:rsid w:val="7FAE52D2"/>
    <w:rsid w:val="FAEBC03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2"/>
    <w:basedOn w:val="1"/>
    <w:next w:val="1"/>
    <w:autoRedefine/>
    <w:semiHidden/>
    <w:unhideWhenUsed/>
    <w:qFormat/>
    <w:uiPriority w:val="0"/>
    <w:pPr>
      <w:spacing w:before="0" w:beforeAutospacing="1" w:after="0" w:afterAutospacing="1"/>
      <w:jc w:val="left"/>
    </w:pPr>
    <w:rPr>
      <w:rFonts w:hint="eastAsia" w:ascii="宋体" w:hAnsi="宋体" w:eastAsia="宋体" w:cs="宋体"/>
      <w:b/>
      <w:kern w:val="0"/>
      <w:sz w:val="36"/>
      <w:szCs w:val="36"/>
      <w:lang w:val="en-US" w:eastAsia="zh-CN" w:bidi="ar"/>
    </w:rPr>
  </w:style>
  <w:style w:type="character" w:default="1" w:styleId="9">
    <w:name w:val="Default Paragraph Font"/>
    <w:autoRedefine/>
    <w:semiHidden/>
    <w:qFormat/>
    <w:uiPriority w:val="0"/>
  </w:style>
  <w:style w:type="table" w:default="1" w:styleId="8">
    <w:name w:val="Normal Table"/>
    <w:autoRedefine/>
    <w:semiHidden/>
    <w:qFormat/>
    <w:uiPriority w:val="0"/>
    <w:tblPr>
      <w:tblCellMar>
        <w:top w:w="0" w:type="dxa"/>
        <w:left w:w="108" w:type="dxa"/>
        <w:bottom w:w="0" w:type="dxa"/>
        <w:right w:w="108" w:type="dxa"/>
      </w:tblCellMar>
    </w:tblPr>
  </w:style>
  <w:style w:type="paragraph" w:customStyle="1" w:styleId="2">
    <w:name w:val="Body Text First Indent 21"/>
    <w:basedOn w:val="3"/>
    <w:next w:val="1"/>
    <w:autoRedefine/>
    <w:qFormat/>
    <w:uiPriority w:val="0"/>
    <w:pPr>
      <w:spacing w:line="360" w:lineRule="auto"/>
      <w:ind w:firstLine="420" w:firstLineChars="200"/>
    </w:pPr>
    <w:rPr>
      <w:rFonts w:ascii="仿宋" w:hAnsi="仿宋" w:eastAsia="仿宋" w:cs="仿宋"/>
      <w:sz w:val="24"/>
    </w:rPr>
  </w:style>
  <w:style w:type="paragraph" w:customStyle="1" w:styleId="3">
    <w:name w:val="Body Text Indent1"/>
    <w:basedOn w:val="1"/>
    <w:autoRedefine/>
    <w:qFormat/>
    <w:uiPriority w:val="0"/>
    <w:pPr>
      <w:spacing w:after="120" w:afterLines="0"/>
      <w:ind w:left="420" w:leftChars="200"/>
    </w:pPr>
    <w:rPr>
      <w:rFonts w:ascii="仿宋" w:hAnsi="仿宋" w:eastAsia="仿宋" w:cs="仿宋"/>
    </w:rPr>
  </w:style>
  <w:style w:type="paragraph" w:styleId="5">
    <w:name w:val="footer"/>
    <w:basedOn w:val="1"/>
    <w:autoRedefine/>
    <w:qFormat/>
    <w:uiPriority w:val="0"/>
    <w:pPr>
      <w:tabs>
        <w:tab w:val="center" w:pos="4153"/>
        <w:tab w:val="right" w:pos="8306"/>
      </w:tabs>
      <w:snapToGrid w:val="0"/>
      <w:jc w:val="left"/>
    </w:pPr>
    <w:rPr>
      <w:sz w:val="18"/>
    </w:rPr>
  </w:style>
  <w:style w:type="paragraph" w:styleId="6">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Normal (Web)"/>
    <w:basedOn w:val="1"/>
    <w:autoRedefine/>
    <w:qFormat/>
    <w:uiPriority w:val="0"/>
    <w:pPr>
      <w:spacing w:before="0" w:beforeAutospacing="1" w:after="0" w:afterAutospacing="1"/>
      <w:ind w:left="0" w:right="0"/>
      <w:jc w:val="left"/>
    </w:pPr>
    <w:rPr>
      <w:kern w:val="0"/>
      <w:sz w:val="24"/>
      <w:lang w:val="en-US" w:eastAsia="zh-CN" w:bidi="ar"/>
    </w:rPr>
  </w:style>
  <w:style w:type="character" w:styleId="10">
    <w:name w:val="Strong"/>
    <w:basedOn w:val="9"/>
    <w:autoRedefine/>
    <w:qFormat/>
    <w:uiPriority w:val="0"/>
    <w:rPr>
      <w:b/>
    </w:rPr>
  </w:style>
  <w:style w:type="character" w:styleId="11">
    <w:name w:val="Hyperlink"/>
    <w:basedOn w:val="9"/>
    <w:autoRedefine/>
    <w:qFormat/>
    <w:uiPriority w:val="0"/>
    <w:rPr>
      <w:color w:val="0000FF"/>
      <w:u w:val="single"/>
    </w:rPr>
  </w:style>
  <w:style w:type="paragraph" w:customStyle="1" w:styleId="12">
    <w:name w:val="正文缩进 + 首行缩进:  2 字符"/>
    <w:basedOn w:val="1"/>
    <w:autoRedefine/>
    <w:qFormat/>
    <w:uiPriority w:val="0"/>
    <w:pPr>
      <w:spacing w:line="560" w:lineRule="exact"/>
      <w:ind w:firstLine="640"/>
    </w:pPr>
    <w:rPr>
      <w:rFonts w:ascii="仿宋" w:hAnsi="仿宋" w:eastAsia="仿宋" w:cs="宋体"/>
      <w:sz w:val="32"/>
      <w:szCs w:val="20"/>
    </w:rPr>
  </w:style>
  <w:style w:type="paragraph" w:customStyle="1" w:styleId="13">
    <w:name w:val="仿宋正文111"/>
    <w:basedOn w:val="1"/>
    <w:autoRedefine/>
    <w:qFormat/>
    <w:uiPriority w:val="0"/>
    <w:pPr>
      <w:spacing w:line="500" w:lineRule="exact"/>
      <w:ind w:firstLine="640" w:firstLineChars="200"/>
    </w:pPr>
    <w:rPr>
      <w:rFonts w:hint="eastAsia" w:ascii="仿宋" w:hAnsi="仿宋" w:eastAsia="仿宋" w:cs="仿宋"/>
      <w:color w:val="333333"/>
      <w:kern w:val="0"/>
      <w:sz w:val="27"/>
      <w:szCs w:val="27"/>
      <w:lang w:bidi="ar"/>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81</TotalTime>
  <ScaleCrop>false</ScaleCrop>
  <LinksUpToDate>false</LinksUpToDate>
  <CharactersWithSpaces>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2020-01-07T11:26:00Z</dcterms:created>
  <dc:creator>小龙偶吧</dc:creator>
  <cp:lastModifiedBy>/yl藤/yl</cp:lastModifiedBy>
  <dcterms:modified xsi:type="dcterms:W3CDTF">2024-02-21T07:19:46Z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4C3BAA81E6684C1F8DFDABF6F5FBB2F8_12</vt:lpwstr>
  </property>
</Properties>
</file>